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E3A6C" w14:textId="77777777" w:rsidR="00EB68AD" w:rsidRDefault="00000000">
      <w:pPr>
        <w:shd w:val="clear" w:color="auto" w:fill="FFFFFF"/>
        <w:spacing w:after="0" w:line="240" w:lineRule="auto"/>
      </w:pPr>
      <w:r>
        <w:rPr>
          <w:rFonts w:ascii="Segoe UI" w:hAnsi="Segoe UI" w:cs="Segoe UI"/>
          <w:color w:val="212121"/>
        </w:rPr>
        <w:t>Dear Colleagues,</w:t>
      </w:r>
    </w:p>
    <w:p w14:paraId="6194092A" w14:textId="77777777" w:rsidR="00EB68AD" w:rsidRDefault="00EB68AD">
      <w:pPr>
        <w:shd w:val="clear" w:color="auto" w:fill="FFFFFF"/>
        <w:spacing w:after="0" w:line="240" w:lineRule="auto"/>
      </w:pPr>
    </w:p>
    <w:p w14:paraId="0730787D" w14:textId="77777777" w:rsidR="00EB68AD" w:rsidRDefault="00000000">
      <w:pPr>
        <w:shd w:val="clear" w:color="auto" w:fill="FFFFFF"/>
        <w:spacing w:after="0" w:line="240" w:lineRule="auto"/>
      </w:pPr>
      <w:r>
        <w:rPr>
          <w:rFonts w:ascii="Segoe UI" w:hAnsi="Segoe UI" w:cs="Segoe UI"/>
          <w:color w:val="212121"/>
        </w:rPr>
        <w:t>We are excited to bring you the August 2026 edition of Psychiatric Practice Updates! We conduct reviews of over 20 peer-reviewed journals each month with the goal of selecting articles that are interesting, impactful, and clinically relevant. Through our reviews, we may also highlight articles that advance our scientific understanding of mental illness or service delivery.</w:t>
      </w:r>
    </w:p>
    <w:p w14:paraId="698AF9EC" w14:textId="77777777" w:rsidR="00EB68AD" w:rsidRDefault="00EB68AD">
      <w:pPr>
        <w:shd w:val="clear" w:color="auto" w:fill="FFFFFF"/>
        <w:spacing w:after="0" w:line="240" w:lineRule="auto"/>
      </w:pPr>
    </w:p>
    <w:p w14:paraId="13A2BA83" w14:textId="77777777" w:rsidR="00EB68AD" w:rsidRDefault="00000000">
      <w:pPr>
        <w:shd w:val="clear" w:color="auto" w:fill="FFFFFF"/>
        <w:spacing w:after="0" w:line="240" w:lineRule="auto"/>
      </w:pPr>
      <w:r>
        <w:rPr>
          <w:rFonts w:ascii="Segoe UI" w:hAnsi="Segoe UI" w:cs="Segoe UI"/>
          <w:color w:val="212121"/>
        </w:rPr>
        <w:t xml:space="preserve">We have provided a list of articles that we selected from our reviews, followed by the abstracts and </w:t>
      </w:r>
      <w:proofErr w:type="spellStart"/>
      <w:r>
        <w:rPr>
          <w:rFonts w:ascii="Segoe UI" w:hAnsi="Segoe UI" w:cs="Segoe UI"/>
          <w:color w:val="212121"/>
        </w:rPr>
        <w:t>pubmed</w:t>
      </w:r>
      <w:proofErr w:type="spellEnd"/>
      <w:r>
        <w:rPr>
          <w:rFonts w:ascii="Segoe UI" w:hAnsi="Segoe UI" w:cs="Segoe UI"/>
          <w:color w:val="212121"/>
        </w:rPr>
        <w:t xml:space="preserve"> links. Clicking in the table of contents will take you to that section of the document. Feel free to share and disseminate.</w:t>
      </w:r>
    </w:p>
    <w:p w14:paraId="64D9FD05" w14:textId="77777777" w:rsidR="00EB68AD" w:rsidRDefault="00EB68AD">
      <w:pPr>
        <w:shd w:val="clear" w:color="auto" w:fill="FFFFFF"/>
        <w:spacing w:after="0" w:line="240" w:lineRule="auto"/>
      </w:pPr>
    </w:p>
    <w:p w14:paraId="19CC82F5" w14:textId="77777777" w:rsidR="00EB68AD" w:rsidRDefault="00000000">
      <w:pPr>
        <w:shd w:val="clear" w:color="auto" w:fill="FFFFFF"/>
        <w:spacing w:after="0" w:line="240" w:lineRule="auto"/>
      </w:pPr>
      <w:r>
        <w:rPr>
          <w:rFonts w:ascii="Segoe UI" w:hAnsi="Segoe UI" w:cs="Segoe UI"/>
          <w:color w:val="212121"/>
        </w:rPr>
        <w:t xml:space="preserve">If you would like to receive the monthly Psychiatric Practice Updates email, please send an email with SUBSCRIBE in the subject to </w:t>
      </w:r>
      <w:hyperlink r:id="rId4" w:history="1">
        <w:r>
          <w:rPr>
            <w:rStyle w:val="Hyperlink"/>
            <w:rFonts w:ascii="Segoe UI" w:hAnsi="Segoe UI" w:cs="Segoe UI"/>
          </w:rPr>
          <w:t>PsychiatricPracticeUpdates@gmail.com</w:t>
        </w:r>
      </w:hyperlink>
    </w:p>
    <w:p w14:paraId="55C8B82F" w14:textId="77777777" w:rsidR="00EB68AD" w:rsidRDefault="00EB68AD">
      <w:pPr>
        <w:shd w:val="clear" w:color="auto" w:fill="FFFFFF"/>
        <w:spacing w:after="0" w:line="240" w:lineRule="auto"/>
      </w:pPr>
    </w:p>
    <w:p w14:paraId="104ED259" w14:textId="77777777" w:rsidR="00EB68AD" w:rsidRDefault="00000000">
      <w:pPr>
        <w:shd w:val="clear" w:color="auto" w:fill="FFFFFF"/>
        <w:spacing w:after="0" w:line="240" w:lineRule="auto"/>
      </w:pPr>
      <w:r>
        <w:rPr>
          <w:rFonts w:ascii="Segoe UI" w:hAnsi="Segoe UI" w:cs="Segoe UI"/>
          <w:color w:val="212121"/>
        </w:rPr>
        <w:t>Happy learning!</w:t>
      </w:r>
    </w:p>
    <w:p w14:paraId="3AE849B1" w14:textId="77777777" w:rsidR="00EB68AD" w:rsidRDefault="00EB68AD">
      <w:pPr>
        <w:shd w:val="clear" w:color="auto" w:fill="FFFFFF"/>
        <w:spacing w:after="0" w:line="240" w:lineRule="auto"/>
      </w:pPr>
    </w:p>
    <w:p w14:paraId="7C5FEF54" w14:textId="77777777" w:rsidR="00EB68AD" w:rsidRDefault="00000000">
      <w:pPr>
        <w:shd w:val="clear" w:color="auto" w:fill="FFFFFF"/>
        <w:spacing w:after="0" w:line="240" w:lineRule="auto"/>
      </w:pPr>
      <w:r>
        <w:rPr>
          <w:rStyle w:val="Strong"/>
          <w:rFonts w:ascii="Segoe UI" w:hAnsi="Segoe UI" w:cs="Segoe UI"/>
          <w:color w:val="212121"/>
        </w:rPr>
        <w:t>The Psychiatric Practice Updates Committee</w:t>
      </w:r>
    </w:p>
    <w:p w14:paraId="076D562A" w14:textId="77777777" w:rsidR="00EB68AD" w:rsidRDefault="00EB68AD">
      <w:pPr>
        <w:shd w:val="clear" w:color="auto" w:fill="FFFFFF"/>
        <w:spacing w:after="0" w:line="240" w:lineRule="auto"/>
      </w:pPr>
    </w:p>
    <w:p w14:paraId="088F4B46" w14:textId="77777777" w:rsidR="00EB68AD" w:rsidRDefault="00000000">
      <w:pPr>
        <w:shd w:val="clear" w:color="auto" w:fill="FFFFFF"/>
        <w:spacing w:after="0" w:line="240" w:lineRule="auto"/>
      </w:pPr>
      <w:r>
        <w:rPr>
          <w:rFonts w:ascii="Segoe UI" w:hAnsi="Segoe UI" w:cs="Segoe UI"/>
          <w:color w:val="212121"/>
          <w:u w:val="single"/>
        </w:rPr>
        <w:t>Chairs:</w:t>
      </w:r>
    </w:p>
    <w:p w14:paraId="7C4770E0" w14:textId="77777777" w:rsidR="00EB68AD" w:rsidRDefault="00000000">
      <w:pPr>
        <w:shd w:val="clear" w:color="auto" w:fill="FFFFFF"/>
        <w:spacing w:after="0" w:line="240" w:lineRule="auto"/>
      </w:pPr>
      <w:r>
        <w:rPr>
          <w:rFonts w:ascii="Segoe UI" w:hAnsi="Segoe UI" w:cs="Segoe UI"/>
          <w:color w:val="212121"/>
        </w:rPr>
        <w:t>Katrina DeBonis, MD</w:t>
      </w:r>
    </w:p>
    <w:p w14:paraId="5BC24745" w14:textId="77777777" w:rsidR="00EB68AD" w:rsidRDefault="00000000">
      <w:pPr>
        <w:shd w:val="clear" w:color="auto" w:fill="FFFFFF"/>
        <w:spacing w:after="0" w:line="240" w:lineRule="auto"/>
      </w:pPr>
      <w:r>
        <w:rPr>
          <w:rFonts w:ascii="Segoe UI" w:hAnsi="Segoe UI" w:cs="Segoe UI"/>
          <w:color w:val="212121"/>
        </w:rPr>
        <w:t>Jane Eisen, MD</w:t>
      </w:r>
    </w:p>
    <w:p w14:paraId="473512AF" w14:textId="77777777" w:rsidR="00EB68AD" w:rsidRDefault="00EB68AD">
      <w:pPr>
        <w:shd w:val="clear" w:color="auto" w:fill="FFFFFF"/>
        <w:spacing w:after="0" w:line="240" w:lineRule="auto"/>
      </w:pPr>
    </w:p>
    <w:p w14:paraId="5A1A9DA3" w14:textId="77777777" w:rsidR="00EB68AD" w:rsidRDefault="00000000">
      <w:pPr>
        <w:shd w:val="clear" w:color="auto" w:fill="FFFFFF"/>
        <w:spacing w:after="0" w:line="240" w:lineRule="auto"/>
      </w:pPr>
      <w:r>
        <w:rPr>
          <w:rFonts w:ascii="Segoe UI" w:hAnsi="Segoe UI" w:cs="Segoe UI"/>
          <w:color w:val="212121"/>
          <w:u w:val="single"/>
        </w:rPr>
        <w:t>Committee Members:</w:t>
      </w:r>
    </w:p>
    <w:p w14:paraId="4A1E5CCB" w14:textId="77777777" w:rsidR="00EB68AD" w:rsidRDefault="00000000">
      <w:pPr>
        <w:shd w:val="clear" w:color="auto" w:fill="FFFFFF"/>
        <w:spacing w:after="0" w:line="240" w:lineRule="auto"/>
      </w:pPr>
      <w:r>
        <w:rPr>
          <w:rFonts w:ascii="Segoe UI" w:hAnsi="Segoe UI" w:cs="Segoe UI"/>
          <w:color w:val="212121"/>
        </w:rPr>
        <w:t>David Fogelson, MD</w:t>
      </w:r>
    </w:p>
    <w:p w14:paraId="09DAA4C7" w14:textId="77777777" w:rsidR="00EB68AD" w:rsidRDefault="00000000">
      <w:pPr>
        <w:shd w:val="clear" w:color="auto" w:fill="FFFFFF"/>
        <w:spacing w:after="0" w:line="240" w:lineRule="auto"/>
      </w:pPr>
      <w:r>
        <w:rPr>
          <w:rFonts w:ascii="Segoe UI" w:hAnsi="Segoe UI" w:cs="Segoe UI"/>
          <w:color w:val="212121"/>
        </w:rPr>
        <w:t>Michael Fiori, MD</w:t>
      </w:r>
    </w:p>
    <w:p w14:paraId="23F00F48" w14:textId="77777777" w:rsidR="00EB68AD" w:rsidRDefault="00000000">
      <w:pPr>
        <w:shd w:val="clear" w:color="auto" w:fill="FFFFFF"/>
        <w:spacing w:after="0" w:line="240" w:lineRule="auto"/>
      </w:pPr>
      <w:r>
        <w:rPr>
          <w:rFonts w:ascii="Segoe UI" w:hAnsi="Segoe UI" w:cs="Segoe UI"/>
          <w:color w:val="212121"/>
        </w:rPr>
        <w:t>Michael Gitlin, MD</w:t>
      </w:r>
    </w:p>
    <w:p w14:paraId="4B86FE58" w14:textId="77777777" w:rsidR="00EB68AD" w:rsidRDefault="00000000">
      <w:pPr>
        <w:shd w:val="clear" w:color="auto" w:fill="FFFFFF"/>
        <w:spacing w:after="0" w:line="240" w:lineRule="auto"/>
      </w:pPr>
      <w:r>
        <w:rPr>
          <w:rFonts w:ascii="Segoe UI" w:hAnsi="Segoe UI" w:cs="Segoe UI"/>
          <w:color w:val="212121"/>
        </w:rPr>
        <w:t>Raphaela Gold, MD, MSc</w:t>
      </w:r>
    </w:p>
    <w:p w14:paraId="14D850DC" w14:textId="77777777" w:rsidR="00EB68AD" w:rsidRDefault="00000000">
      <w:pPr>
        <w:shd w:val="clear" w:color="auto" w:fill="FFFFFF"/>
        <w:spacing w:after="0" w:line="240" w:lineRule="auto"/>
      </w:pPr>
      <w:r>
        <w:rPr>
          <w:rFonts w:ascii="Segoe UI" w:hAnsi="Segoe UI" w:cs="Segoe UI"/>
          <w:color w:val="212121"/>
        </w:rPr>
        <w:t>Kevin Kennedy, MD</w:t>
      </w:r>
    </w:p>
    <w:p w14:paraId="49A2C80F" w14:textId="77777777" w:rsidR="00EB68AD" w:rsidRDefault="00000000">
      <w:pPr>
        <w:shd w:val="clear" w:color="auto" w:fill="FFFFFF"/>
        <w:spacing w:after="0" w:line="240" w:lineRule="auto"/>
      </w:pPr>
      <w:r>
        <w:rPr>
          <w:rFonts w:ascii="Segoe UI" w:hAnsi="Segoe UI" w:cs="Segoe UI"/>
          <w:color w:val="212121"/>
        </w:rPr>
        <w:t>Stephen Marder, MD</w:t>
      </w:r>
    </w:p>
    <w:p w14:paraId="04E1D3E0" w14:textId="77777777" w:rsidR="00EB68AD" w:rsidRDefault="00000000">
      <w:pPr>
        <w:shd w:val="clear" w:color="auto" w:fill="FFFFFF"/>
        <w:spacing w:after="0" w:line="240" w:lineRule="auto"/>
      </w:pPr>
      <w:r>
        <w:rPr>
          <w:rFonts w:ascii="Segoe UI" w:hAnsi="Segoe UI" w:cs="Segoe UI"/>
          <w:color w:val="212121"/>
        </w:rPr>
        <w:t>Collin Price, MD</w:t>
      </w:r>
    </w:p>
    <w:p w14:paraId="6689E57B" w14:textId="77777777" w:rsidR="00EB68AD" w:rsidRDefault="00EB68AD">
      <w:pPr>
        <w:shd w:val="clear" w:color="auto" w:fill="FFFFFF"/>
        <w:spacing w:after="0" w:line="240" w:lineRule="auto"/>
      </w:pPr>
    </w:p>
    <w:p w14:paraId="533586DC" w14:textId="77777777" w:rsidR="00EB68AD" w:rsidRDefault="00000000">
      <w:pPr>
        <w:pStyle w:val="TOCHeading"/>
      </w:pPr>
      <w:r>
        <w:t>Psychiatric Practice Updates – August 2026</w:t>
      </w:r>
    </w:p>
    <w:p w14:paraId="47838455" w14:textId="77777777" w:rsidR="00EB68AD" w:rsidRDefault="00000000">
      <w:pPr>
        <w:pStyle w:val="TOC1"/>
        <w:tabs>
          <w:tab w:val="right" w:leader="dot" w:pos="9350"/>
        </w:tabs>
        <w:rPr>
          <w:sz w:val="24"/>
          <w:szCs w:val="24"/>
        </w:rPr>
      </w:pPr>
      <w:hyperlink r:id="rId5" w:history="1">
        <w:r>
          <w:rPr>
            <w:rStyle w:val="Hyperlink"/>
            <w:rFonts w:ascii="Merriweather" w:hAnsi="Merriweather"/>
          </w:rPr>
          <w:t>Postural Orthostatic Tachycardia Syndrome (POTS): A Review</w:t>
        </w:r>
      </w:hyperlink>
    </w:p>
    <w:p w14:paraId="1B7885A0" w14:textId="77777777" w:rsidR="00EB68AD" w:rsidRDefault="00000000">
      <w:pPr>
        <w:pStyle w:val="TOC1"/>
        <w:tabs>
          <w:tab w:val="right" w:leader="dot" w:pos="9350"/>
        </w:tabs>
        <w:rPr>
          <w:sz w:val="24"/>
          <w:szCs w:val="24"/>
        </w:rPr>
      </w:pPr>
      <w:hyperlink r:id="rId6" w:history="1">
        <w:r>
          <w:rPr>
            <w:rStyle w:val="Hyperlink"/>
            <w:rFonts w:ascii="Merriweather" w:hAnsi="Merriweather"/>
          </w:rPr>
          <w:t>Toward a Pluralistic Model for the Schizophrenia Spectrum—Dopamine and Beyond</w:t>
        </w:r>
      </w:hyperlink>
    </w:p>
    <w:p w14:paraId="79AB0F4E" w14:textId="77777777" w:rsidR="00EB68AD" w:rsidRDefault="00000000">
      <w:pPr>
        <w:pStyle w:val="TOC1"/>
        <w:tabs>
          <w:tab w:val="right" w:leader="dot" w:pos="9350"/>
        </w:tabs>
        <w:rPr>
          <w:sz w:val="24"/>
          <w:szCs w:val="24"/>
        </w:rPr>
      </w:pPr>
      <w:hyperlink r:id="rId7" w:history="1">
        <w:proofErr w:type="spellStart"/>
        <w:r>
          <w:rPr>
            <w:rStyle w:val="Hyperlink"/>
            <w:rFonts w:ascii="Merriweather" w:hAnsi="Merriweather"/>
          </w:rPr>
          <w:t>Neurometabolites</w:t>
        </w:r>
        <w:proofErr w:type="spellEnd"/>
        <w:r>
          <w:rPr>
            <w:rStyle w:val="Hyperlink"/>
            <w:rFonts w:ascii="Merriweather" w:hAnsi="Merriweather"/>
          </w:rPr>
          <w:t xml:space="preserve"> and Antipsychotic Response in Psychosis: A Mega-Analysis</w:t>
        </w:r>
      </w:hyperlink>
    </w:p>
    <w:p w14:paraId="32772EC7" w14:textId="77777777" w:rsidR="00EB68AD" w:rsidRDefault="00000000">
      <w:pPr>
        <w:pStyle w:val="TOC1"/>
        <w:tabs>
          <w:tab w:val="right" w:leader="dot" w:pos="9350"/>
        </w:tabs>
        <w:rPr>
          <w:sz w:val="24"/>
          <w:szCs w:val="24"/>
        </w:rPr>
      </w:pPr>
      <w:hyperlink r:id="rId8" w:history="1">
        <w:r>
          <w:rPr>
            <w:rStyle w:val="Hyperlink"/>
            <w:rFonts w:ascii="Merriweather" w:hAnsi="Merriweather"/>
          </w:rPr>
          <w:t xml:space="preserve">Circadian Rhythm Stabilization App to Prevent Mood Episode Recurrence in Patients </w:t>
        </w:r>
        <w:proofErr w:type="gramStart"/>
        <w:r>
          <w:rPr>
            <w:rStyle w:val="Hyperlink"/>
            <w:rFonts w:ascii="Merriweather" w:hAnsi="Merriweather"/>
          </w:rPr>
          <w:t>With</w:t>
        </w:r>
        <w:proofErr w:type="gramEnd"/>
        <w:r>
          <w:rPr>
            <w:rStyle w:val="Hyperlink"/>
            <w:rFonts w:ascii="Merriweather" w:hAnsi="Merriweather"/>
          </w:rPr>
          <w:t xml:space="preserve"> Mood Disorders: A Multicenter, Double-Blind, Sham-Controlled, Randomized Clinical Trial</w:t>
        </w:r>
      </w:hyperlink>
    </w:p>
    <w:p w14:paraId="214A637C" w14:textId="77777777" w:rsidR="00EB68AD" w:rsidRDefault="00000000">
      <w:pPr>
        <w:pStyle w:val="TOC1"/>
        <w:tabs>
          <w:tab w:val="right" w:leader="dot" w:pos="9350"/>
        </w:tabs>
        <w:rPr>
          <w:sz w:val="24"/>
          <w:szCs w:val="24"/>
        </w:rPr>
      </w:pPr>
      <w:hyperlink r:id="rId9" w:history="1">
        <w:r>
          <w:rPr>
            <w:rStyle w:val="Hyperlink"/>
            <w:rFonts w:ascii="Merriweather" w:hAnsi="Merriweather"/>
          </w:rPr>
          <w:t xml:space="preserve">School-based intervention study examining universal approaches for depressive symptoms and mental health literacy of pupils in Year 9 in England (AWARE): multi-school, parallel group, cluster </w:t>
        </w:r>
        <w:proofErr w:type="spellStart"/>
        <w:r>
          <w:rPr>
            <w:rStyle w:val="Hyperlink"/>
            <w:rFonts w:ascii="Merriweather" w:hAnsi="Merriweather"/>
          </w:rPr>
          <w:t>randomised</w:t>
        </w:r>
        <w:proofErr w:type="spellEnd"/>
        <w:r>
          <w:rPr>
            <w:rStyle w:val="Hyperlink"/>
            <w:rFonts w:ascii="Merriweather" w:hAnsi="Merriweather"/>
          </w:rPr>
          <w:t xml:space="preserve"> controlled trial</w:t>
        </w:r>
      </w:hyperlink>
    </w:p>
    <w:p w14:paraId="3DD741B2" w14:textId="77777777" w:rsidR="00EB68AD" w:rsidRDefault="00000000">
      <w:pPr>
        <w:pStyle w:val="TOC1"/>
        <w:tabs>
          <w:tab w:val="right" w:leader="dot" w:pos="9350"/>
        </w:tabs>
        <w:rPr>
          <w:sz w:val="24"/>
          <w:szCs w:val="24"/>
        </w:rPr>
      </w:pPr>
      <w:hyperlink r:id="rId10" w:history="1">
        <w:r>
          <w:rPr>
            <w:rStyle w:val="Hyperlink"/>
            <w:rFonts w:ascii="Merriweather" w:hAnsi="Merriweather"/>
          </w:rPr>
          <w:t>Changes in Genetic Contributions to ASD and ADHD by Year of Diagnosis</w:t>
        </w:r>
      </w:hyperlink>
    </w:p>
    <w:p w14:paraId="0600259B" w14:textId="77777777" w:rsidR="00EB68AD" w:rsidRDefault="00000000">
      <w:pPr>
        <w:pStyle w:val="TOC1"/>
        <w:tabs>
          <w:tab w:val="right" w:leader="dot" w:pos="9350"/>
        </w:tabs>
        <w:rPr>
          <w:sz w:val="24"/>
          <w:szCs w:val="24"/>
        </w:rPr>
      </w:pPr>
      <w:hyperlink r:id="rId11" w:history="1">
        <w:r>
          <w:rPr>
            <w:rStyle w:val="Hyperlink"/>
            <w:rFonts w:ascii="Merriweather" w:hAnsi="Merriweather"/>
          </w:rPr>
          <w:t>Escitalopram and brain reactivity to aggressive stimuli in premenstrual dysphoric disorder</w:t>
        </w:r>
      </w:hyperlink>
    </w:p>
    <w:p w14:paraId="4EAF59EA" w14:textId="77777777" w:rsidR="00EB68AD" w:rsidRDefault="00000000">
      <w:pPr>
        <w:pStyle w:val="TOC1"/>
        <w:tabs>
          <w:tab w:val="right" w:leader="dot" w:pos="9350"/>
        </w:tabs>
        <w:rPr>
          <w:sz w:val="24"/>
          <w:szCs w:val="24"/>
        </w:rPr>
      </w:pPr>
      <w:hyperlink r:id="rId12" w:history="1">
        <w:r>
          <w:rPr>
            <w:rStyle w:val="Hyperlink"/>
            <w:rFonts w:ascii="Merriweather" w:hAnsi="Merriweather"/>
          </w:rPr>
          <w:t>Reliability of psychiatric diagnoses in the 21st century</w:t>
        </w:r>
      </w:hyperlink>
    </w:p>
    <w:p w14:paraId="38193F19" w14:textId="77777777" w:rsidR="00EB68AD" w:rsidRDefault="00000000">
      <w:pPr>
        <w:pStyle w:val="TOC1"/>
        <w:tabs>
          <w:tab w:val="right" w:leader="dot" w:pos="9350"/>
        </w:tabs>
        <w:rPr>
          <w:sz w:val="24"/>
          <w:szCs w:val="24"/>
        </w:rPr>
      </w:pPr>
      <w:hyperlink r:id="rId13" w:history="1">
        <w:r>
          <w:rPr>
            <w:rStyle w:val="Hyperlink"/>
            <w:rFonts w:ascii="Merriweather" w:hAnsi="Merriweather"/>
          </w:rPr>
          <w:t>Nature and the mind: Towards nature-based mental health care and prevention</w:t>
        </w:r>
      </w:hyperlink>
    </w:p>
    <w:p w14:paraId="3B967ACC" w14:textId="77777777" w:rsidR="00EB68AD" w:rsidRDefault="00000000">
      <w:pPr>
        <w:pStyle w:val="TOC1"/>
        <w:tabs>
          <w:tab w:val="right" w:leader="dot" w:pos="9350"/>
        </w:tabs>
        <w:rPr>
          <w:sz w:val="24"/>
          <w:szCs w:val="24"/>
        </w:rPr>
      </w:pPr>
      <w:hyperlink r:id="rId14" w:history="1">
        <w:r>
          <w:rPr>
            <w:rStyle w:val="Hyperlink"/>
            <w:rFonts w:ascii="Merriweather" w:hAnsi="Merriweather"/>
          </w:rPr>
          <w:t>Multimodal examination of the acute effects of cannabis on subjective and physiological stress-related outcomes: a randomized placebo-controlled laboratory study</w:t>
        </w:r>
      </w:hyperlink>
    </w:p>
    <w:p w14:paraId="16F1C059" w14:textId="77777777" w:rsidR="00EB68AD" w:rsidRDefault="00000000">
      <w:pPr>
        <w:pStyle w:val="TOC1"/>
        <w:tabs>
          <w:tab w:val="right" w:leader="dot" w:pos="9350"/>
        </w:tabs>
        <w:rPr>
          <w:sz w:val="24"/>
          <w:szCs w:val="24"/>
        </w:rPr>
      </w:pPr>
      <w:hyperlink r:id="rId15" w:history="1">
        <w:r>
          <w:rPr>
            <w:rStyle w:val="Hyperlink"/>
            <w:rFonts w:ascii="Merriweather" w:hAnsi="Merriweather"/>
          </w:rPr>
          <w:t>Pramipexole treatment and substance use disorder risk in unipolar and bipolar depression: a Swedish nationwide register study</w:t>
        </w:r>
      </w:hyperlink>
    </w:p>
    <w:p w14:paraId="536CE0CF" w14:textId="77777777" w:rsidR="00EB68AD" w:rsidRDefault="00000000">
      <w:pPr>
        <w:pStyle w:val="TOC1"/>
        <w:tabs>
          <w:tab w:val="right" w:leader="dot" w:pos="9350"/>
        </w:tabs>
        <w:rPr>
          <w:sz w:val="24"/>
          <w:szCs w:val="24"/>
        </w:rPr>
      </w:pPr>
      <w:hyperlink r:id="rId16" w:history="1">
        <w:r>
          <w:rPr>
            <w:rStyle w:val="Hyperlink"/>
            <w:rFonts w:ascii="Merriweather" w:hAnsi="Merriweather"/>
          </w:rPr>
          <w:t>Safety and Mental Health Outcomes of Oregon State-Regulated Psilocybin Services</w:t>
        </w:r>
      </w:hyperlink>
    </w:p>
    <w:p w14:paraId="12F9542C" w14:textId="77777777" w:rsidR="00EB68AD" w:rsidRDefault="00000000">
      <w:pPr>
        <w:pStyle w:val="TOC1"/>
        <w:tabs>
          <w:tab w:val="right" w:leader="dot" w:pos="9350"/>
        </w:tabs>
        <w:rPr>
          <w:sz w:val="24"/>
          <w:szCs w:val="24"/>
        </w:rPr>
      </w:pPr>
      <w:hyperlink r:id="rId17" w:history="1">
        <w:r>
          <w:rPr>
            <w:rStyle w:val="Hyperlink"/>
            <w:rFonts w:ascii="Merriweather" w:hAnsi="Merriweather"/>
          </w:rPr>
          <w:t>Online psychoeducation and assessment for borderline personality disorder as a first step of care: A pilot study assessing safety, feasibility, and mechanisms of change</w:t>
        </w:r>
      </w:hyperlink>
    </w:p>
    <w:p w14:paraId="021ECFD7" w14:textId="77777777" w:rsidR="00EB68AD" w:rsidRDefault="00000000">
      <w:pPr>
        <w:pStyle w:val="TOC1"/>
        <w:tabs>
          <w:tab w:val="right" w:leader="dot" w:pos="9350"/>
        </w:tabs>
        <w:rPr>
          <w:sz w:val="24"/>
          <w:szCs w:val="24"/>
        </w:rPr>
      </w:pPr>
      <w:hyperlink r:id="rId18" w:history="1">
        <w:r>
          <w:rPr>
            <w:rStyle w:val="Hyperlink"/>
            <w:rFonts w:ascii="Merriweather" w:hAnsi="Merriweather"/>
          </w:rPr>
          <w:t>Temporal course of symptom domain improvement in schizophrenia: individual participant data analysis of six antipsychotic drug trials</w:t>
        </w:r>
      </w:hyperlink>
    </w:p>
    <w:p w14:paraId="731812E4" w14:textId="77777777" w:rsidR="00EB68AD" w:rsidRDefault="00000000">
      <w:pPr>
        <w:pStyle w:val="TOC1"/>
        <w:tabs>
          <w:tab w:val="right" w:pos="9350"/>
        </w:tabs>
        <w:rPr>
          <w:b/>
          <w:bCs/>
          <w:color w:val="1A365D"/>
          <w:sz w:val="24"/>
          <w:szCs w:val="24"/>
        </w:rPr>
      </w:pPr>
      <w:r>
        <w:rPr>
          <w:rFonts w:ascii="Merriweather" w:hAnsi="Merriweather"/>
          <w:b/>
          <w:bCs/>
          <w:color w:val="1A365D"/>
          <w:sz w:val="24"/>
          <w:szCs w:val="24"/>
        </w:rPr>
        <w:t>Clinical Reviews &amp; Meta-Analyses</w:t>
      </w:r>
    </w:p>
    <w:p w14:paraId="7D999FF9" w14:textId="77777777" w:rsidR="00EB68AD" w:rsidRDefault="00000000">
      <w:pPr>
        <w:pStyle w:val="TOC1"/>
        <w:tabs>
          <w:tab w:val="right" w:leader="dot" w:pos="9350"/>
        </w:tabs>
        <w:rPr>
          <w:sz w:val="24"/>
          <w:szCs w:val="24"/>
        </w:rPr>
      </w:pPr>
      <w:hyperlink r:id="rId19" w:history="1">
        <w:r>
          <w:rPr>
            <w:rStyle w:val="Hyperlink"/>
            <w:rFonts w:ascii="Merriweather" w:hAnsi="Merriweather"/>
          </w:rPr>
          <w:t>The 25-Year Evolution of Lithium as a Disease-Modifying Agent in Dementia: A Narrative Review</w:t>
        </w:r>
      </w:hyperlink>
    </w:p>
    <w:p w14:paraId="099B20DA" w14:textId="77777777" w:rsidR="00EB68AD" w:rsidRDefault="00EB68AD">
      <w:pPr>
        <w:shd w:val="clear" w:color="auto" w:fill="FFFFFF"/>
        <w:spacing w:after="0" w:line="240" w:lineRule="auto"/>
      </w:pPr>
    </w:p>
    <w:p w14:paraId="1F47F562" w14:textId="77777777" w:rsidR="00EB68AD" w:rsidRDefault="00000000">
      <w:pPr>
        <w:pStyle w:val="Heading1"/>
        <w:shd w:val="clear" w:color="auto" w:fill="FFFFFF"/>
      </w:pPr>
      <w:r>
        <w:rPr>
          <w:rFonts w:ascii="Merriweather" w:hAnsi="Merriweather"/>
          <w:color w:val="212121"/>
        </w:rPr>
        <w:t>Postural Orthostatic Tachycardia Syndrome (POTS): A Review</w:t>
      </w:r>
    </w:p>
    <w:p w14:paraId="269D6E32" w14:textId="77777777" w:rsidR="00EB68AD" w:rsidRDefault="00000000">
      <w:pPr>
        <w:shd w:val="clear" w:color="auto" w:fill="FFFFFF"/>
        <w:spacing w:after="0" w:line="240" w:lineRule="auto"/>
      </w:pPr>
      <w:r>
        <w:rPr>
          <w:rFonts w:ascii="Segoe UI" w:hAnsi="Segoe UI" w:cs="Segoe UI"/>
          <w:color w:val="212121"/>
        </w:rPr>
        <w:t xml:space="preserve">Chung TH, Raj SR. Postural Orthostatic Tachycardia Syndrome (POTS): A Review. JAMA. 2026 Aug 24. </w:t>
      </w:r>
      <w:proofErr w:type="spellStart"/>
      <w:r>
        <w:rPr>
          <w:rFonts w:ascii="Segoe UI" w:hAnsi="Segoe UI" w:cs="Segoe UI"/>
          <w:color w:val="212121"/>
        </w:rPr>
        <w:t>doi</w:t>
      </w:r>
      <w:proofErr w:type="spellEnd"/>
      <w:r>
        <w:rPr>
          <w:rFonts w:ascii="Segoe UI" w:hAnsi="Segoe UI" w:cs="Segoe UI"/>
          <w:color w:val="212121"/>
        </w:rPr>
        <w:t xml:space="preserve">: 10.1001/jama.2026.14809. </w:t>
      </w:r>
      <w:proofErr w:type="spellStart"/>
      <w:r>
        <w:rPr>
          <w:rFonts w:ascii="Segoe UI" w:hAnsi="Segoe UI" w:cs="Segoe UI"/>
          <w:color w:val="212121"/>
        </w:rPr>
        <w:t>Epub</w:t>
      </w:r>
      <w:proofErr w:type="spellEnd"/>
      <w:r>
        <w:rPr>
          <w:rFonts w:ascii="Segoe UI" w:hAnsi="Segoe UI" w:cs="Segoe UI"/>
          <w:color w:val="212121"/>
        </w:rPr>
        <w:t xml:space="preserve"> ahead of print </w:t>
      </w:r>
      <w:hyperlink r:id="rId20" w:history="1">
        <w:r>
          <w:rPr>
            <w:rStyle w:val="Hyperlink"/>
            <w:rFonts w:ascii="Segoe UI" w:hAnsi="Segoe UI" w:cs="Segoe UI"/>
          </w:rPr>
          <w:t>PMID: 42635998</w:t>
        </w:r>
      </w:hyperlink>
      <w:r>
        <w:rPr>
          <w:rFonts w:ascii="Segoe UI" w:hAnsi="Segoe UI" w:cs="Segoe UI"/>
          <w:color w:val="212121"/>
        </w:rPr>
        <w:t>.</w:t>
      </w:r>
    </w:p>
    <w:p w14:paraId="0099337C" w14:textId="77777777" w:rsidR="00EB68AD" w:rsidRDefault="00000000">
      <w:pPr>
        <w:pStyle w:val="NormalWeb"/>
        <w:shd w:val="clear" w:color="auto" w:fill="FFFFFF"/>
      </w:pPr>
      <w:r>
        <w:rPr>
          <w:rStyle w:val="Strong"/>
          <w:rFonts w:ascii="Segoe UI" w:hAnsi="Segoe UI" w:cs="Segoe UI"/>
          <w:color w:val="212121"/>
        </w:rPr>
        <w:t xml:space="preserve">Importance: </w:t>
      </w:r>
      <w:r>
        <w:rPr>
          <w:rFonts w:ascii="Segoe UI" w:hAnsi="Segoe UI" w:cs="Segoe UI"/>
          <w:color w:val="212121"/>
        </w:rPr>
        <w:t>Postural orthostatic tachycardia syndrome (POTS) is a chronic autonomic disorder characterized by excessive orthostatic tachycardia and multisystem symptoms that affects an estimated 0.1% to 1% of the US population. POTS can substantially impair daily functioning and quality of life.</w:t>
      </w:r>
    </w:p>
    <w:p w14:paraId="1058BBD2" w14:textId="77777777" w:rsidR="00EB68AD" w:rsidRDefault="00000000">
      <w:pPr>
        <w:pStyle w:val="NormalWeb"/>
        <w:shd w:val="clear" w:color="auto" w:fill="FFFFFF"/>
      </w:pPr>
      <w:r>
        <w:rPr>
          <w:rStyle w:val="Strong"/>
          <w:rFonts w:ascii="Segoe UI" w:hAnsi="Segoe UI" w:cs="Segoe UI"/>
          <w:color w:val="212121"/>
        </w:rPr>
        <w:t xml:space="preserve">Observations: </w:t>
      </w:r>
      <w:r>
        <w:rPr>
          <w:rFonts w:ascii="Segoe UI" w:hAnsi="Segoe UI" w:cs="Segoe UI"/>
          <w:color w:val="212121"/>
        </w:rPr>
        <w:t xml:space="preserve">Common symptoms include lightheadedness, palpitations, fatigue, cognitive dysfunction ("brain fog"), exercise intolerance, nausea, bloating, constipation, diarrhea, and sleep disturbance. However, the true prevalence remains uncertain partly due to </w:t>
      </w:r>
      <w:proofErr w:type="spellStart"/>
      <w:r>
        <w:rPr>
          <w:rFonts w:ascii="Segoe UI" w:hAnsi="Segoe UI" w:cs="Segoe UI"/>
          <w:color w:val="212121"/>
        </w:rPr>
        <w:t>underrecognition</w:t>
      </w:r>
      <w:proofErr w:type="spellEnd"/>
      <w:r>
        <w:rPr>
          <w:rFonts w:ascii="Segoe UI" w:hAnsi="Segoe UI" w:cs="Segoe UI"/>
          <w:color w:val="212121"/>
        </w:rPr>
        <w:t xml:space="preserve"> and lack of a specific diagnostic code for POTS until 2022. In a survey of 4835 patients, approximately 70% reported substantial functional impairment and loss of school or work participation, and median diagnostic delay was 24 months. In 30% to 40% of cases, symptoms began within 3 months after infections, such as SARS-CoV-2, Epstein-Barr virus, and influenza. Initial evaluation should exclude other conditions that cause sinus tachycardia, including thyroid disease, adrenal insufficiency, pheochromocytoma, cardiomyopathy, valvular heart disease, congenital heart disease, chronic lung disease, medications, and anemia. This review summarizes current evidence on pathophysiology, diagnosis, and management of POTS.</w:t>
      </w:r>
    </w:p>
    <w:p w14:paraId="372A1B5E" w14:textId="77777777" w:rsidR="00EB68AD" w:rsidRDefault="00000000">
      <w:pPr>
        <w:pStyle w:val="NormalWeb"/>
        <w:shd w:val="clear" w:color="auto" w:fill="FFFFFF"/>
      </w:pPr>
      <w:r>
        <w:rPr>
          <w:rStyle w:val="Strong"/>
          <w:rFonts w:ascii="Segoe UI" w:hAnsi="Segoe UI" w:cs="Segoe UI"/>
          <w:color w:val="212121"/>
        </w:rPr>
        <w:lastRenderedPageBreak/>
        <w:t xml:space="preserve">Conclusions: </w:t>
      </w:r>
      <w:r>
        <w:rPr>
          <w:rFonts w:ascii="Segoe UI" w:hAnsi="Segoe UI" w:cs="Segoe UI"/>
          <w:color w:val="212121"/>
        </w:rPr>
        <w:t>and Relevance: POTS is a chronic autonomic disorder associated with functional impairment and reduced quality of life that is diagnosed based on characteristic orthostatic symptoms in the absence of orthostatic hypotension after excluding alternative causes of sinus tachycardia. Treatment involves nonpharmacological measures (such as increased fluid and sodium intake), lower-body compression garments, structured exercise training, and individualized pharmacological therapy.</w:t>
      </w:r>
    </w:p>
    <w:p w14:paraId="6568AD57" w14:textId="77777777" w:rsidR="00EB68AD" w:rsidRDefault="00EB68AD">
      <w:pPr>
        <w:shd w:val="clear" w:color="auto" w:fill="FFFFFF"/>
        <w:spacing w:after="0" w:line="240" w:lineRule="auto"/>
      </w:pPr>
    </w:p>
    <w:p w14:paraId="7BCED013" w14:textId="77777777" w:rsidR="00EB68AD" w:rsidRDefault="00000000">
      <w:pPr>
        <w:pStyle w:val="Heading1"/>
        <w:shd w:val="clear" w:color="auto" w:fill="FFFFFF"/>
      </w:pPr>
      <w:r>
        <w:rPr>
          <w:rFonts w:ascii="Merriweather" w:hAnsi="Merriweather"/>
          <w:color w:val="212121"/>
        </w:rPr>
        <w:t>Toward a Pluralistic Model for the Schizophrenia Spectrum—Dopamine and Beyond</w:t>
      </w:r>
    </w:p>
    <w:p w14:paraId="48115134" w14:textId="77777777" w:rsidR="00EB68AD" w:rsidRDefault="00000000">
      <w:pPr>
        <w:shd w:val="clear" w:color="auto" w:fill="FFFFFF"/>
        <w:spacing w:after="0" w:line="240" w:lineRule="auto"/>
      </w:pPr>
      <w:r>
        <w:rPr>
          <w:rFonts w:ascii="Segoe UI" w:hAnsi="Segoe UI" w:cs="Segoe UI"/>
          <w:color w:val="212121"/>
        </w:rPr>
        <w:t xml:space="preserve">Keshavan MS, Nasrallah HA, Abi-Dargham A, Grace AA, </w:t>
      </w:r>
      <w:proofErr w:type="spellStart"/>
      <w:r>
        <w:rPr>
          <w:rFonts w:ascii="Segoe UI" w:hAnsi="Segoe UI" w:cs="Segoe UI"/>
          <w:color w:val="212121"/>
        </w:rPr>
        <w:t>Javitt</w:t>
      </w:r>
      <w:proofErr w:type="spellEnd"/>
      <w:r>
        <w:rPr>
          <w:rFonts w:ascii="Segoe UI" w:hAnsi="Segoe UI" w:cs="Segoe UI"/>
          <w:color w:val="212121"/>
        </w:rPr>
        <w:t xml:space="preserve"> DC, Lewis DA, et al. Toward a Pluralistic Model for the Schizophrenia Spectrum—Dopamine and Beyond. JAMA Psychiatry. 2026. </w:t>
      </w:r>
      <w:proofErr w:type="spellStart"/>
      <w:r>
        <w:rPr>
          <w:rFonts w:ascii="Segoe UI" w:hAnsi="Segoe UI" w:cs="Segoe UI"/>
          <w:color w:val="212121"/>
        </w:rPr>
        <w:t>doi</w:t>
      </w:r>
      <w:proofErr w:type="spellEnd"/>
      <w:r>
        <w:rPr>
          <w:rFonts w:ascii="Segoe UI" w:hAnsi="Segoe UI" w:cs="Segoe UI"/>
          <w:color w:val="212121"/>
        </w:rPr>
        <w:t xml:space="preserve">: 10.1001/jamapsychiatry.2026.1684 </w:t>
      </w:r>
      <w:hyperlink r:id="rId21" w:history="1">
        <w:r>
          <w:rPr>
            <w:rStyle w:val="Hyperlink"/>
            <w:rFonts w:ascii="Segoe UI" w:hAnsi="Segoe UI" w:cs="Segoe UI"/>
          </w:rPr>
          <w:t>PMID: 42418174</w:t>
        </w:r>
      </w:hyperlink>
      <w:r>
        <w:rPr>
          <w:rFonts w:ascii="Segoe UI" w:hAnsi="Segoe UI" w:cs="Segoe UI"/>
          <w:color w:val="212121"/>
        </w:rPr>
        <w:t>.</w:t>
      </w:r>
    </w:p>
    <w:p w14:paraId="5B650BBC" w14:textId="77777777" w:rsidR="00EB68AD" w:rsidRDefault="00000000">
      <w:pPr>
        <w:pStyle w:val="NormalWeb"/>
        <w:shd w:val="clear" w:color="auto" w:fill="FFFFFF"/>
      </w:pPr>
      <w:r>
        <w:rPr>
          <w:rStyle w:val="Strong"/>
          <w:rFonts w:ascii="Segoe UI" w:hAnsi="Segoe UI" w:cs="Segoe UI"/>
          <w:color w:val="212121"/>
        </w:rPr>
        <w:t xml:space="preserve">Importance: </w:t>
      </w:r>
      <w:r>
        <w:rPr>
          <w:rFonts w:ascii="Segoe UI" w:hAnsi="Segoe UI" w:cs="Segoe UI"/>
          <w:color w:val="212121"/>
        </w:rPr>
        <w:t>Dopaminergic dysregulation has been considered the final common pathway for pathophysiology of schizophrenia and related disorders (SRD). However, this model does not adequately explain treatment resistance, cognitive impairment, negative symptoms, and marked biological heterogeneity across patients.</w:t>
      </w:r>
    </w:p>
    <w:p w14:paraId="4E800EF3" w14:textId="77777777" w:rsidR="00EB68AD" w:rsidRDefault="00000000">
      <w:pPr>
        <w:pStyle w:val="NormalWeb"/>
        <w:shd w:val="clear" w:color="auto" w:fill="FFFFFF"/>
      </w:pPr>
      <w:r>
        <w:rPr>
          <w:rStyle w:val="Strong"/>
          <w:rFonts w:ascii="Segoe UI" w:hAnsi="Segoe UI" w:cs="Segoe UI"/>
          <w:color w:val="212121"/>
        </w:rPr>
        <w:t xml:space="preserve">Objective: </w:t>
      </w:r>
      <w:r>
        <w:rPr>
          <w:rFonts w:ascii="Segoe UI" w:hAnsi="Segoe UI" w:cs="Segoe UI"/>
          <w:color w:val="212121"/>
        </w:rPr>
        <w:t>To examine whether SRD are best conceptualized as resulting from a final common dopaminergic pathway or from several partially independent neurochemical mechanisms and to evaluate the implications of these models for treatment development.</w:t>
      </w:r>
    </w:p>
    <w:p w14:paraId="21CA7072" w14:textId="77777777" w:rsidR="00EB68AD" w:rsidRDefault="00000000">
      <w:pPr>
        <w:pStyle w:val="NormalWeb"/>
        <w:shd w:val="clear" w:color="auto" w:fill="FFFFFF"/>
      </w:pPr>
      <w:r>
        <w:rPr>
          <w:rStyle w:val="Strong"/>
          <w:rFonts w:ascii="Segoe UI" w:hAnsi="Segoe UI" w:cs="Segoe UI"/>
          <w:color w:val="212121"/>
        </w:rPr>
        <w:t xml:space="preserve">Evidence Review: </w:t>
      </w:r>
      <w:r>
        <w:rPr>
          <w:rFonts w:ascii="Segoe UI" w:hAnsi="Segoe UI" w:cs="Segoe UI"/>
          <w:color w:val="212121"/>
        </w:rPr>
        <w:t>Neuroimaging, postmortem and genetic investigations, pharmacologic challenge paradigms, clinical trials, and animal models published between 1980 and 2025 were synthesized. Studies were identified through expert knowledge and targeted searches of PubMed and related databases. Systematic reviews, meta-analyses, and multimodal convergent findings were emphasized.</w:t>
      </w:r>
    </w:p>
    <w:p w14:paraId="6E489C07" w14:textId="77777777" w:rsidR="00EB68AD" w:rsidRDefault="00000000">
      <w:pPr>
        <w:pStyle w:val="NormalWeb"/>
        <w:shd w:val="clear" w:color="auto" w:fill="FFFFFF"/>
      </w:pPr>
      <w:r>
        <w:rPr>
          <w:rStyle w:val="Strong"/>
          <w:rFonts w:ascii="Segoe UI" w:hAnsi="Segoe UI" w:cs="Segoe UI"/>
          <w:color w:val="212121"/>
        </w:rPr>
        <w:t xml:space="preserve">Findings: </w:t>
      </w:r>
      <w:r>
        <w:rPr>
          <w:rFonts w:ascii="Segoe UI" w:hAnsi="Segoe UI" w:cs="Segoe UI"/>
          <w:color w:val="212121"/>
        </w:rPr>
        <w:t>Positive psychotic symptoms are strongly linked to increased presynaptic dopaminergic activity in the associative striatum, which predicts response to dopamine D2 receptor antagonists. However, approximately one-third of patients exhibit treatment resistance and show no increase in striatal dopamine synthesis capacity. Increasing evidence implicates glutamatergic, gamma-aminobutyric acid (GABA)</w:t>
      </w:r>
      <w:proofErr w:type="spellStart"/>
      <w:r>
        <w:rPr>
          <w:rFonts w:ascii="Segoe UI" w:hAnsi="Segoe UI" w:cs="Segoe UI"/>
          <w:color w:val="212121"/>
        </w:rPr>
        <w:t>ergic</w:t>
      </w:r>
      <w:proofErr w:type="spellEnd"/>
      <w:r>
        <w:rPr>
          <w:rFonts w:ascii="Segoe UI" w:hAnsi="Segoe UI" w:cs="Segoe UI"/>
          <w:color w:val="212121"/>
        </w:rPr>
        <w:t xml:space="preserve">, serotonergic, cholinergic, endocannabinoid, and </w:t>
      </w:r>
      <w:proofErr w:type="spellStart"/>
      <w:r>
        <w:rPr>
          <w:rFonts w:ascii="Segoe UI" w:hAnsi="Segoe UI" w:cs="Segoe UI"/>
          <w:color w:val="212121"/>
        </w:rPr>
        <w:t>opioidergic</w:t>
      </w:r>
      <w:proofErr w:type="spellEnd"/>
      <w:r>
        <w:rPr>
          <w:rFonts w:ascii="Segoe UI" w:hAnsi="Segoe UI" w:cs="Segoe UI"/>
          <w:color w:val="212121"/>
        </w:rPr>
        <w:t xml:space="preserve"> systems, as well as </w:t>
      </w:r>
      <w:proofErr w:type="spellStart"/>
      <w:r>
        <w:rPr>
          <w:rFonts w:ascii="Segoe UI" w:hAnsi="Segoe UI" w:cs="Segoe UI"/>
          <w:color w:val="212121"/>
        </w:rPr>
        <w:t>nonneurotransmitter</w:t>
      </w:r>
      <w:proofErr w:type="spellEnd"/>
      <w:r>
        <w:rPr>
          <w:rFonts w:ascii="Segoe UI" w:hAnsi="Segoe UI" w:cs="Segoe UI"/>
          <w:color w:val="212121"/>
        </w:rPr>
        <w:t xml:space="preserve"> processes including oxidative stress, mitochondrial dysfunction, and neuroinflammation. The efficacy of the muscarinic M1/M4-preferring agonist </w:t>
      </w:r>
      <w:proofErr w:type="spellStart"/>
      <w:r>
        <w:rPr>
          <w:rFonts w:ascii="Segoe UI" w:hAnsi="Segoe UI" w:cs="Segoe UI"/>
          <w:color w:val="212121"/>
        </w:rPr>
        <w:t>xanomeline-trospium</w:t>
      </w:r>
      <w:proofErr w:type="spellEnd"/>
      <w:r>
        <w:rPr>
          <w:rFonts w:ascii="Segoe UI" w:hAnsi="Segoe UI" w:cs="Segoe UI"/>
          <w:color w:val="212121"/>
        </w:rPr>
        <w:t xml:space="preserve">, which lacks direct D2 receptor antagonism, suggests that nondopaminergic mechanisms can </w:t>
      </w:r>
      <w:r>
        <w:rPr>
          <w:rFonts w:ascii="Segoe UI" w:hAnsi="Segoe UI" w:cs="Segoe UI"/>
          <w:color w:val="212121"/>
        </w:rPr>
        <w:lastRenderedPageBreak/>
        <w:t>reduce psychotic symptoms. Neurochemically distinct subgroups within SRD may cut across overlapping clinical phenotypes.</w:t>
      </w:r>
    </w:p>
    <w:p w14:paraId="7296B7D8" w14:textId="77777777" w:rsidR="00EB68AD" w:rsidRDefault="00000000">
      <w:pPr>
        <w:pStyle w:val="NormalWeb"/>
        <w:shd w:val="clear" w:color="auto" w:fill="FFFFFF"/>
      </w:pPr>
      <w:r>
        <w:rPr>
          <w:rStyle w:val="Strong"/>
          <w:rFonts w:ascii="Segoe UI" w:hAnsi="Segoe UI" w:cs="Segoe UI"/>
          <w:color w:val="212121"/>
        </w:rPr>
        <w:t xml:space="preserve">Conclusions: </w:t>
      </w:r>
      <w:r>
        <w:rPr>
          <w:rFonts w:ascii="Segoe UI" w:hAnsi="Segoe UI" w:cs="Segoe UI"/>
          <w:color w:val="212121"/>
        </w:rPr>
        <w:t>and Relevance: Dopaminergic hyperactivity may be a key mechanism for core psychotic symptoms in many patients, but it is unlikely that dopamine dysregulation is a universal final common pathway across symptom domains. A pluralistic model—recognizing multiple interacting neurochemical and cellular processes—may better account for heterogeneity and translational failures. Future development of novel treatments may depend on biomarker-informed stratification, mechanism-based clinical trials, and integration of molecular, circuit-level, and clinical phenotypes.</w:t>
      </w:r>
    </w:p>
    <w:p w14:paraId="1B17CAB0" w14:textId="77777777" w:rsidR="00EB68AD" w:rsidRDefault="00EB68AD">
      <w:pPr>
        <w:shd w:val="clear" w:color="auto" w:fill="FFFFFF"/>
        <w:spacing w:after="0" w:line="240" w:lineRule="auto"/>
      </w:pPr>
    </w:p>
    <w:p w14:paraId="7AC78718" w14:textId="77777777" w:rsidR="00EB68AD" w:rsidRDefault="00000000">
      <w:pPr>
        <w:pStyle w:val="Heading1"/>
        <w:shd w:val="clear" w:color="auto" w:fill="FFFFFF"/>
      </w:pPr>
      <w:r>
        <w:rPr>
          <w:rFonts w:ascii="Merriweather" w:hAnsi="Merriweather"/>
          <w:color w:val="212121"/>
        </w:rPr>
        <w:t>Neurometabolites and Antipsychotic Response in Psychosis: A Mega-Analysis</w:t>
      </w:r>
    </w:p>
    <w:p w14:paraId="539696A8" w14:textId="77777777" w:rsidR="00EB68AD" w:rsidRDefault="00000000">
      <w:pPr>
        <w:shd w:val="clear" w:color="auto" w:fill="FFFFFF"/>
        <w:spacing w:after="0" w:line="240" w:lineRule="auto"/>
      </w:pPr>
      <w:r>
        <w:rPr>
          <w:rFonts w:ascii="Segoe UI" w:hAnsi="Segoe UI" w:cs="Segoe UI"/>
          <w:color w:val="212121"/>
        </w:rPr>
        <w:t xml:space="preserve">King B, Bojesen KB, Crisp C, de Bartolomeis A, de Haan L, de la Fuente-Sandoval C, et al. </w:t>
      </w:r>
      <w:proofErr w:type="spellStart"/>
      <w:r>
        <w:rPr>
          <w:rFonts w:ascii="Segoe UI" w:hAnsi="Segoe UI" w:cs="Segoe UI"/>
          <w:color w:val="212121"/>
        </w:rPr>
        <w:t>Neurometabolites</w:t>
      </w:r>
      <w:proofErr w:type="spellEnd"/>
      <w:r>
        <w:rPr>
          <w:rFonts w:ascii="Segoe UI" w:hAnsi="Segoe UI" w:cs="Segoe UI"/>
          <w:color w:val="212121"/>
        </w:rPr>
        <w:t xml:space="preserve"> and Antipsychotic Response in Psychosis: A Mega-Analysis. JAMA Psychiatry. 2026;83(9):939-948. </w:t>
      </w:r>
      <w:proofErr w:type="spellStart"/>
      <w:r>
        <w:rPr>
          <w:rFonts w:ascii="Segoe UI" w:hAnsi="Segoe UI" w:cs="Segoe UI"/>
          <w:color w:val="212121"/>
        </w:rPr>
        <w:t>doi</w:t>
      </w:r>
      <w:proofErr w:type="spellEnd"/>
      <w:r>
        <w:rPr>
          <w:rFonts w:ascii="Segoe UI" w:hAnsi="Segoe UI" w:cs="Segoe UI"/>
          <w:color w:val="212121"/>
        </w:rPr>
        <w:t xml:space="preserve">: 10.1001/jamapsychiatry.2026.1674 </w:t>
      </w:r>
      <w:hyperlink r:id="rId22" w:history="1">
        <w:r>
          <w:rPr>
            <w:rStyle w:val="Hyperlink"/>
            <w:rFonts w:ascii="Segoe UI" w:hAnsi="Segoe UI" w:cs="Segoe UI"/>
          </w:rPr>
          <w:t>PMID: 42340705</w:t>
        </w:r>
      </w:hyperlink>
      <w:r>
        <w:rPr>
          <w:rFonts w:ascii="Segoe UI" w:hAnsi="Segoe UI" w:cs="Segoe UI"/>
          <w:color w:val="212121"/>
        </w:rPr>
        <w:t>.</w:t>
      </w:r>
    </w:p>
    <w:p w14:paraId="531E9D4C" w14:textId="77777777" w:rsidR="00EB68AD" w:rsidRDefault="00000000">
      <w:pPr>
        <w:pStyle w:val="NormalWeb"/>
        <w:shd w:val="clear" w:color="auto" w:fill="FFFFFF"/>
      </w:pPr>
      <w:r>
        <w:rPr>
          <w:rStyle w:val="Strong"/>
          <w:rFonts w:ascii="Segoe UI" w:hAnsi="Segoe UI" w:cs="Segoe UI"/>
          <w:color w:val="212121"/>
        </w:rPr>
        <w:t xml:space="preserve">Importance: </w:t>
      </w:r>
      <w:r>
        <w:rPr>
          <w:rFonts w:ascii="Segoe UI" w:hAnsi="Segoe UI" w:cs="Segoe UI"/>
          <w:color w:val="212121"/>
        </w:rPr>
        <w:t>Revealing neurobiological markers of antipsychotic nonresponse in psychosis may aid outcome prediction and inform novel treatment targets.</w:t>
      </w:r>
    </w:p>
    <w:p w14:paraId="58854686" w14:textId="77777777" w:rsidR="00EB68AD" w:rsidRDefault="00000000">
      <w:pPr>
        <w:pStyle w:val="NormalWeb"/>
        <w:shd w:val="clear" w:color="auto" w:fill="FFFFFF"/>
      </w:pPr>
      <w:r>
        <w:rPr>
          <w:rStyle w:val="Strong"/>
          <w:rFonts w:ascii="Segoe UI" w:hAnsi="Segoe UI" w:cs="Segoe UI"/>
          <w:color w:val="212121"/>
        </w:rPr>
        <w:t xml:space="preserve">Objective: </w:t>
      </w:r>
      <w:r>
        <w:rPr>
          <w:rFonts w:ascii="Segoe UI" w:hAnsi="Segoe UI" w:cs="Segoe UI"/>
          <w:color w:val="212121"/>
        </w:rPr>
        <w:t xml:space="preserve">To examine differences in </w:t>
      </w:r>
      <w:proofErr w:type="spellStart"/>
      <w:r>
        <w:rPr>
          <w:rFonts w:ascii="Segoe UI" w:hAnsi="Segoe UI" w:cs="Segoe UI"/>
          <w:color w:val="212121"/>
        </w:rPr>
        <w:t>neurometabolites</w:t>
      </w:r>
      <w:proofErr w:type="spellEnd"/>
      <w:r>
        <w:rPr>
          <w:rFonts w:ascii="Segoe UI" w:hAnsi="Segoe UI" w:cs="Segoe UI"/>
          <w:color w:val="212121"/>
        </w:rPr>
        <w:t xml:space="preserve"> in antipsychotic nonresponsive compared to antipsychotic-responsive psychosis using individual participant data and meta-analysis.</w:t>
      </w:r>
    </w:p>
    <w:p w14:paraId="0BEF5B53" w14:textId="77777777" w:rsidR="00EB68AD" w:rsidRDefault="00000000">
      <w:pPr>
        <w:pStyle w:val="NormalWeb"/>
        <w:shd w:val="clear" w:color="auto" w:fill="FFFFFF"/>
      </w:pPr>
      <w:r>
        <w:rPr>
          <w:rStyle w:val="Strong"/>
          <w:rFonts w:ascii="Segoe UI" w:hAnsi="Segoe UI" w:cs="Segoe UI"/>
          <w:color w:val="212121"/>
        </w:rPr>
        <w:t xml:space="preserve">Data Sources: </w:t>
      </w:r>
      <w:r>
        <w:rPr>
          <w:rFonts w:ascii="Segoe UI" w:hAnsi="Segoe UI" w:cs="Segoe UI"/>
          <w:color w:val="212121"/>
        </w:rPr>
        <w:t>Web of Science was searched for studies published between January 1, 1980, and November 1, 2025.</w:t>
      </w:r>
    </w:p>
    <w:p w14:paraId="788F2E0E" w14:textId="77777777" w:rsidR="00EB68AD" w:rsidRDefault="00000000">
      <w:pPr>
        <w:pStyle w:val="NormalWeb"/>
        <w:shd w:val="clear" w:color="auto" w:fill="FFFFFF"/>
      </w:pPr>
      <w:r>
        <w:rPr>
          <w:rStyle w:val="Strong"/>
          <w:rFonts w:ascii="Segoe UI" w:hAnsi="Segoe UI" w:cs="Segoe UI"/>
          <w:color w:val="212121"/>
        </w:rPr>
        <w:t xml:space="preserve">Study Selection: </w:t>
      </w:r>
      <w:r>
        <w:rPr>
          <w:rFonts w:ascii="Segoe UI" w:hAnsi="Segoe UI" w:cs="Segoe UI"/>
          <w:color w:val="212121"/>
        </w:rPr>
        <w:t xml:space="preserve">Authors of 21 eligible studies identified before August 2024 were invited to contribute individual participant data. Eighteen studies examining </w:t>
      </w:r>
      <w:proofErr w:type="spellStart"/>
      <w:r>
        <w:rPr>
          <w:rFonts w:ascii="Segoe UI" w:hAnsi="Segoe UI" w:cs="Segoe UI"/>
          <w:color w:val="212121"/>
        </w:rPr>
        <w:t>neurometabolites</w:t>
      </w:r>
      <w:proofErr w:type="spellEnd"/>
      <w:r>
        <w:rPr>
          <w:rFonts w:ascii="Segoe UI" w:hAnsi="Segoe UI" w:cs="Segoe UI"/>
          <w:color w:val="212121"/>
        </w:rPr>
        <w:t xml:space="preserve"> by treatment response in psychosis contributed individual participant data for the mega-analysis. These studies plus a further 5 studies were included in the meta-analyses of standardized mean differences and variability.</w:t>
      </w:r>
    </w:p>
    <w:p w14:paraId="27E6C40D" w14:textId="77777777" w:rsidR="00EB68AD" w:rsidRDefault="00000000">
      <w:pPr>
        <w:pStyle w:val="NormalWeb"/>
        <w:shd w:val="clear" w:color="auto" w:fill="FFFFFF"/>
      </w:pPr>
      <w:r>
        <w:rPr>
          <w:rStyle w:val="Strong"/>
          <w:rFonts w:ascii="Segoe UI" w:hAnsi="Segoe UI" w:cs="Segoe UI"/>
          <w:color w:val="212121"/>
        </w:rPr>
        <w:t xml:space="preserve">Data Extraction and Synthesis: </w:t>
      </w:r>
      <w:r>
        <w:rPr>
          <w:rFonts w:ascii="Segoe UI" w:hAnsi="Segoe UI" w:cs="Segoe UI"/>
          <w:color w:val="212121"/>
        </w:rPr>
        <w:t>Individual participant data were analyzed using linear mixed models with study as a random effect.</w:t>
      </w:r>
    </w:p>
    <w:p w14:paraId="5AFBEF07" w14:textId="77777777" w:rsidR="00EB68AD" w:rsidRDefault="00000000">
      <w:pPr>
        <w:pStyle w:val="NormalWeb"/>
        <w:shd w:val="clear" w:color="auto" w:fill="FFFFFF"/>
      </w:pPr>
      <w:r>
        <w:rPr>
          <w:rStyle w:val="Strong"/>
          <w:rFonts w:ascii="Segoe UI" w:hAnsi="Segoe UI" w:cs="Segoe UI"/>
          <w:color w:val="212121"/>
        </w:rPr>
        <w:t xml:space="preserve">Results: </w:t>
      </w:r>
      <w:r>
        <w:rPr>
          <w:rFonts w:ascii="Segoe UI" w:hAnsi="Segoe UI" w:cs="Segoe UI"/>
          <w:color w:val="212121"/>
        </w:rPr>
        <w:t xml:space="preserve">The mega-analysis revealed that antipsychotic nonresponse is associated with elevated levels of glutamate, </w:t>
      </w:r>
      <w:proofErr w:type="spellStart"/>
      <w:r>
        <w:rPr>
          <w:rFonts w:ascii="Segoe UI" w:hAnsi="Segoe UI" w:cs="Segoe UI"/>
          <w:color w:val="212121"/>
        </w:rPr>
        <w:t>Glx</w:t>
      </w:r>
      <w:proofErr w:type="spellEnd"/>
      <w:r>
        <w:rPr>
          <w:rFonts w:ascii="Segoe UI" w:hAnsi="Segoe UI" w:cs="Segoe UI"/>
          <w:color w:val="212121"/>
        </w:rPr>
        <w:t xml:space="preserve"> (the sum of glutamate and glutamine), choline, and myo-inositol in the medial frontal cortex compared to individuals who showed a good </w:t>
      </w:r>
      <w:r>
        <w:rPr>
          <w:rFonts w:ascii="Segoe UI" w:hAnsi="Segoe UI" w:cs="Segoe UI"/>
          <w:color w:val="212121"/>
        </w:rPr>
        <w:lastRenderedPageBreak/>
        <w:t xml:space="preserve">antipsychotic response and healthy controls (N = 1,189 from 18 datasets). Elevated medial frontal glutamate plus glutamine in antipsychotic </w:t>
      </w:r>
      <w:proofErr w:type="spellStart"/>
      <w:r>
        <w:rPr>
          <w:rFonts w:ascii="Segoe UI" w:hAnsi="Segoe UI" w:cs="Segoe UI"/>
          <w:color w:val="212121"/>
        </w:rPr>
        <w:t>nonresponders</w:t>
      </w:r>
      <w:proofErr w:type="spellEnd"/>
      <w:r>
        <w:rPr>
          <w:rFonts w:ascii="Segoe UI" w:hAnsi="Segoe UI" w:cs="Segoe UI"/>
          <w:color w:val="212121"/>
        </w:rPr>
        <w:t xml:space="preserve"> compared with responders was also observed prospectively in first-episode psychosis (Glass Δ = 0.41; P = .002), whereas myo-inositol elevations were greatest in individuals meeting criteria for treatment-resistance (Glass Δ = 0.64; P = .001). The meta-analysis of 23 studies (1844 participants) also showed elevated medial frontal choline and myo-inositol in antipsychotic nonresponse compared with response.</w:t>
      </w:r>
    </w:p>
    <w:p w14:paraId="0E0DC440" w14:textId="77777777" w:rsidR="00EB68AD" w:rsidRDefault="00000000">
      <w:pPr>
        <w:pStyle w:val="NormalWeb"/>
        <w:shd w:val="clear" w:color="auto" w:fill="FFFFFF"/>
      </w:pPr>
      <w:r>
        <w:rPr>
          <w:rStyle w:val="Strong"/>
          <w:rFonts w:ascii="Segoe UI" w:hAnsi="Segoe UI" w:cs="Segoe UI"/>
          <w:color w:val="212121"/>
        </w:rPr>
        <w:t xml:space="preserve">Conclusions: </w:t>
      </w:r>
      <w:r>
        <w:rPr>
          <w:rFonts w:ascii="Segoe UI" w:hAnsi="Segoe UI" w:cs="Segoe UI"/>
          <w:color w:val="212121"/>
        </w:rPr>
        <w:t>and Relevance: These findings provide evidence of an association between antipsychotic nonresponse in psychosis with elevations in medial frontal glutamate, choline, and myo-inositol. The presence of elevations in these markers supports the continued investigation of glutamate-acting and inflammatory pathway–associated interventions for psychosis and schizophrenia.</w:t>
      </w:r>
    </w:p>
    <w:p w14:paraId="412E8385" w14:textId="77777777" w:rsidR="00EB68AD" w:rsidRDefault="00EB68AD">
      <w:pPr>
        <w:shd w:val="clear" w:color="auto" w:fill="FFFFFF"/>
        <w:spacing w:after="0" w:line="240" w:lineRule="auto"/>
      </w:pPr>
    </w:p>
    <w:p w14:paraId="30786EF7" w14:textId="77777777" w:rsidR="00EB68AD" w:rsidRDefault="00000000">
      <w:pPr>
        <w:pStyle w:val="Heading1"/>
        <w:shd w:val="clear" w:color="auto" w:fill="FFFFFF"/>
      </w:pPr>
      <w:r>
        <w:rPr>
          <w:rFonts w:ascii="Merriweather" w:hAnsi="Merriweather"/>
          <w:color w:val="212121"/>
        </w:rPr>
        <w:t>Circadian Rhythm Stabilization App to Prevent Mood Episode Recurrence in Patients With Mood Disorders: A Multicenter, Double-Blind, Sham-Controlled, Randomized Clinical Trial</w:t>
      </w:r>
    </w:p>
    <w:p w14:paraId="1745D7EB" w14:textId="77777777" w:rsidR="00EB68AD" w:rsidRDefault="00000000">
      <w:pPr>
        <w:shd w:val="clear" w:color="auto" w:fill="FFFFFF"/>
        <w:spacing w:after="0" w:line="240" w:lineRule="auto"/>
      </w:pPr>
      <w:r>
        <w:rPr>
          <w:rFonts w:ascii="Segoe UI" w:hAnsi="Segoe UI" w:cs="Segoe UI"/>
          <w:color w:val="212121"/>
        </w:rPr>
        <w:t xml:space="preserve">Yeom JW, Jeong J, Moon E, Park YM, Lee MS, Yoon HK, et al. Circadian Rhythm Stabilization App to Prevent Mood Episode Recurrence in Patients </w:t>
      </w:r>
      <w:proofErr w:type="gramStart"/>
      <w:r>
        <w:rPr>
          <w:rFonts w:ascii="Segoe UI" w:hAnsi="Segoe UI" w:cs="Segoe UI"/>
          <w:color w:val="212121"/>
        </w:rPr>
        <w:t>With</w:t>
      </w:r>
      <w:proofErr w:type="gramEnd"/>
      <w:r>
        <w:rPr>
          <w:rFonts w:ascii="Segoe UI" w:hAnsi="Segoe UI" w:cs="Segoe UI"/>
          <w:color w:val="212121"/>
        </w:rPr>
        <w:t xml:space="preserve"> Mood Disorders: A Multicenter, Double-Blind, Sham-Controlled, Randomized Clinical Trial. Am J Psychiatry. 2026;183(9):657-667. </w:t>
      </w:r>
      <w:proofErr w:type="spellStart"/>
      <w:r>
        <w:rPr>
          <w:rFonts w:ascii="Segoe UI" w:hAnsi="Segoe UI" w:cs="Segoe UI"/>
          <w:color w:val="212121"/>
        </w:rPr>
        <w:t>doi</w:t>
      </w:r>
      <w:proofErr w:type="spellEnd"/>
      <w:r>
        <w:rPr>
          <w:rFonts w:ascii="Segoe UI" w:hAnsi="Segoe UI" w:cs="Segoe UI"/>
          <w:color w:val="212121"/>
        </w:rPr>
        <w:t xml:space="preserve">: 10.1176/appi.ajp.20251008 </w:t>
      </w:r>
      <w:hyperlink r:id="rId23" w:history="1">
        <w:r>
          <w:rPr>
            <w:rStyle w:val="Hyperlink"/>
            <w:rFonts w:ascii="Segoe UI" w:hAnsi="Segoe UI" w:cs="Segoe UI"/>
          </w:rPr>
          <w:t>PMID: 42337416</w:t>
        </w:r>
      </w:hyperlink>
      <w:r>
        <w:rPr>
          <w:rFonts w:ascii="Segoe UI" w:hAnsi="Segoe UI" w:cs="Segoe UI"/>
          <w:color w:val="212121"/>
        </w:rPr>
        <w:t>.</w:t>
      </w:r>
    </w:p>
    <w:p w14:paraId="6D791235" w14:textId="77777777" w:rsidR="00EB68AD" w:rsidRDefault="00000000">
      <w:pPr>
        <w:pStyle w:val="NormalWeb"/>
        <w:shd w:val="clear" w:color="auto" w:fill="FFFFFF"/>
      </w:pPr>
      <w:r>
        <w:rPr>
          <w:rStyle w:val="Strong"/>
          <w:rFonts w:ascii="Segoe UI" w:hAnsi="Segoe UI" w:cs="Segoe UI"/>
          <w:color w:val="212121"/>
        </w:rPr>
        <w:t xml:space="preserve">Objective: </w:t>
      </w:r>
      <w:r>
        <w:rPr>
          <w:rFonts w:ascii="Segoe UI" w:hAnsi="Segoe UI" w:cs="Segoe UI"/>
          <w:color w:val="212121"/>
        </w:rPr>
        <w:t>Preventing recurrence is essential for improving the clinical course of major depressive disorder (MDD) and bipolar disorder (BD). The authors developed the Circadian Rhythm for Mood (CRM) smartphone app, which provides individualized 3-day circadian rhythm stability forecasts and personalized feedback on light exposure targets, daily instability, and mood tracking, using passive wearable data (step count, heart rate, ambient light, sleep timing) via a Fitbit device.</w:t>
      </w:r>
    </w:p>
    <w:p w14:paraId="58BC722A" w14:textId="77777777" w:rsidR="00EB68AD" w:rsidRDefault="00000000">
      <w:pPr>
        <w:pStyle w:val="NormalWeb"/>
        <w:shd w:val="clear" w:color="auto" w:fill="FFFFFF"/>
      </w:pPr>
      <w:r>
        <w:rPr>
          <w:rStyle w:val="Strong"/>
          <w:rFonts w:ascii="Segoe UI" w:hAnsi="Segoe UI" w:cs="Segoe UI"/>
          <w:color w:val="212121"/>
        </w:rPr>
        <w:t xml:space="preserve">Methods: </w:t>
      </w:r>
      <w:r>
        <w:rPr>
          <w:rFonts w:ascii="Segoe UI" w:hAnsi="Segoe UI" w:cs="Segoe UI"/>
          <w:color w:val="212121"/>
        </w:rPr>
        <w:t>This multicenter, double-blind, sham-controlled randomized clinical trial enrolled 93 adults aged 19–70 with MDD or bipolar I or II disorder across five hospitals in South Korea. All participants were clinically stable for at least two months but had experienced a mood episode within the previous two years. Participants were randomly assigned to receive either the active CRM app or a sham app (identical in appearance but providing only generic, non-circadian-related feedback), both added to treatment as usual, for 12 months. The modified intent-to-treat analysis included 80 participants.</w:t>
      </w:r>
    </w:p>
    <w:p w14:paraId="50749949" w14:textId="77777777" w:rsidR="00EB68AD" w:rsidRDefault="00000000">
      <w:pPr>
        <w:pStyle w:val="NormalWeb"/>
        <w:shd w:val="clear" w:color="auto" w:fill="FFFFFF"/>
      </w:pPr>
      <w:r>
        <w:rPr>
          <w:rStyle w:val="Strong"/>
          <w:rFonts w:ascii="Segoe UI" w:hAnsi="Segoe UI" w:cs="Segoe UI"/>
          <w:color w:val="212121"/>
        </w:rPr>
        <w:t xml:space="preserve">Results: </w:t>
      </w:r>
      <w:r>
        <w:rPr>
          <w:rFonts w:ascii="Segoe UI" w:hAnsi="Segoe UI" w:cs="Segoe UI"/>
          <w:color w:val="212121"/>
        </w:rPr>
        <w:t xml:space="preserve">The CRM group experienced significantly fewer mood episode recurrences over the 12-month follow-up compared with the sham group (incidence rate ratio [IRR] = 3.39; 95% CI 1.19–6.40; p = 0.018). The effect was most pronounced for depressive </w:t>
      </w:r>
      <w:r>
        <w:rPr>
          <w:rFonts w:ascii="Segoe UI" w:hAnsi="Segoe UI" w:cs="Segoe UI"/>
          <w:color w:val="212121"/>
        </w:rPr>
        <w:lastRenderedPageBreak/>
        <w:t>episodes (48 of 68 total recurrent episodes; IRR = 2.85; q = 0.009). A large apparent effect was observed for hypomanic episodes (IRR = 15.32; q = 0.017), though this was based on only 16 episodes with a wide confidence interval. Manic episodes were too infrequent (n = 4) to draw firm conclusions (IRR = 3.28; q = 0.514).</w:t>
      </w:r>
    </w:p>
    <w:p w14:paraId="2429722B" w14:textId="77777777" w:rsidR="00EB68AD" w:rsidRDefault="00000000">
      <w:pPr>
        <w:pStyle w:val="NormalWeb"/>
        <w:shd w:val="clear" w:color="auto" w:fill="FFFFFF"/>
      </w:pPr>
      <w:r>
        <w:rPr>
          <w:rStyle w:val="Strong"/>
          <w:rFonts w:ascii="Segoe UI" w:hAnsi="Segoe UI" w:cs="Segoe UI"/>
          <w:color w:val="212121"/>
        </w:rPr>
        <w:t xml:space="preserve">Conclusions: </w:t>
      </w:r>
      <w:r>
        <w:rPr>
          <w:rFonts w:ascii="Segoe UI" w:hAnsi="Segoe UI" w:cs="Segoe UI"/>
          <w:color w:val="212121"/>
        </w:rPr>
        <w:t>The CRM smartphone app, paired with a wrist-worn wearable activity tracker, significantly reduced mood episode recurrence in patients with MDD and bipolar disorder compared with a sham intervention. These findings support the CRM app as an innovative, scalable digital chronotherapeutic adjunct to standard care for mood disorders.</w:t>
      </w:r>
    </w:p>
    <w:p w14:paraId="650D9DA2" w14:textId="77777777" w:rsidR="00EB68AD" w:rsidRDefault="00EB68AD">
      <w:pPr>
        <w:shd w:val="clear" w:color="auto" w:fill="FFFFFF"/>
        <w:spacing w:after="0" w:line="240" w:lineRule="auto"/>
      </w:pPr>
    </w:p>
    <w:p w14:paraId="56652AAA" w14:textId="77777777" w:rsidR="00EB68AD" w:rsidRDefault="00000000">
      <w:pPr>
        <w:pStyle w:val="Heading1"/>
        <w:shd w:val="clear" w:color="auto" w:fill="FFFFFF"/>
      </w:pPr>
      <w:r>
        <w:rPr>
          <w:rFonts w:ascii="Merriweather" w:hAnsi="Merriweather"/>
          <w:color w:val="212121"/>
        </w:rPr>
        <w:t>School-based intervention study examining universal approaches for depressive symptoms and mental health literacy of pupils in Year 9 in England (AWARE): multi-school, parallel group, cluster randomised controlled trial</w:t>
      </w:r>
    </w:p>
    <w:p w14:paraId="02229B4C" w14:textId="77777777" w:rsidR="00EB68AD" w:rsidRDefault="00000000">
      <w:pPr>
        <w:shd w:val="clear" w:color="auto" w:fill="FFFFFF"/>
        <w:spacing w:after="0" w:line="240" w:lineRule="auto"/>
      </w:pPr>
      <w:r>
        <w:rPr>
          <w:rFonts w:ascii="Segoe UI" w:hAnsi="Segoe UI" w:cs="Segoe UI"/>
          <w:color w:val="212121"/>
        </w:rPr>
        <w:t xml:space="preserve">Deighton J, Hayes D, Thompson A, March A, Thornton E, Santos J, et al. School-based intervention study examining universal approaches for depressive symptoms and mental health literacy of pupils in Year 9 in England (AWARE): multi-school, parallel group, cluster </w:t>
      </w:r>
      <w:proofErr w:type="spellStart"/>
      <w:r>
        <w:rPr>
          <w:rFonts w:ascii="Segoe UI" w:hAnsi="Segoe UI" w:cs="Segoe UI"/>
          <w:color w:val="212121"/>
        </w:rPr>
        <w:t>randomised</w:t>
      </w:r>
      <w:proofErr w:type="spellEnd"/>
      <w:r>
        <w:rPr>
          <w:rFonts w:ascii="Segoe UI" w:hAnsi="Segoe UI" w:cs="Segoe UI"/>
          <w:color w:val="212121"/>
        </w:rPr>
        <w:t xml:space="preserve"> controlled trial. Br J Psychiatry. 2026:1-10. </w:t>
      </w:r>
      <w:proofErr w:type="spellStart"/>
      <w:r>
        <w:rPr>
          <w:rFonts w:ascii="Segoe UI" w:hAnsi="Segoe UI" w:cs="Segoe UI"/>
          <w:color w:val="212121"/>
        </w:rPr>
        <w:t>doi</w:t>
      </w:r>
      <w:proofErr w:type="spellEnd"/>
      <w:r>
        <w:rPr>
          <w:rFonts w:ascii="Segoe UI" w:hAnsi="Segoe UI" w:cs="Segoe UI"/>
          <w:color w:val="212121"/>
        </w:rPr>
        <w:t xml:space="preserve">: 10.1192/bjp.2026.10667 </w:t>
      </w:r>
      <w:hyperlink r:id="rId24" w:history="1">
        <w:r>
          <w:rPr>
            <w:rStyle w:val="Hyperlink"/>
            <w:rFonts w:ascii="Segoe UI" w:hAnsi="Segoe UI" w:cs="Segoe UI"/>
          </w:rPr>
          <w:t>PMID: 42565291</w:t>
        </w:r>
      </w:hyperlink>
      <w:r>
        <w:rPr>
          <w:rFonts w:ascii="Segoe UI" w:hAnsi="Segoe UI" w:cs="Segoe UI"/>
          <w:color w:val="212121"/>
        </w:rPr>
        <w:t>.</w:t>
      </w:r>
    </w:p>
    <w:p w14:paraId="04AC566E" w14:textId="77777777" w:rsidR="00EB68AD" w:rsidRDefault="00000000">
      <w:pPr>
        <w:pStyle w:val="NormalWeb"/>
        <w:shd w:val="clear" w:color="auto" w:fill="FFFFFF"/>
      </w:pPr>
      <w:r>
        <w:rPr>
          <w:rStyle w:val="Strong"/>
          <w:rFonts w:ascii="Segoe UI" w:hAnsi="Segoe UI" w:cs="Segoe UI"/>
          <w:color w:val="212121"/>
        </w:rPr>
        <w:t xml:space="preserve">Background: </w:t>
      </w:r>
      <w:r>
        <w:rPr>
          <w:rFonts w:ascii="Segoe UI" w:hAnsi="Segoe UI" w:cs="Segoe UI"/>
          <w:color w:val="212121"/>
        </w:rPr>
        <w:t>Mental health problems in adolescents are increasing. Universal school-based interventions may play an important preventative role.</w:t>
      </w:r>
    </w:p>
    <w:p w14:paraId="627C66B2" w14:textId="77777777" w:rsidR="00EB68AD" w:rsidRDefault="00000000">
      <w:pPr>
        <w:pStyle w:val="NormalWeb"/>
        <w:shd w:val="clear" w:color="auto" w:fill="FFFFFF"/>
      </w:pPr>
      <w:r>
        <w:rPr>
          <w:rStyle w:val="Strong"/>
          <w:rFonts w:ascii="Segoe UI" w:hAnsi="Segoe UI" w:cs="Segoe UI"/>
          <w:color w:val="212121"/>
        </w:rPr>
        <w:t xml:space="preserve">Aims: </w:t>
      </w:r>
      <w:r>
        <w:rPr>
          <w:rFonts w:ascii="Segoe UI" w:hAnsi="Segoe UI" w:cs="Segoe UI"/>
          <w:color w:val="212121"/>
        </w:rPr>
        <w:t>The aim of the Approaches for Well-being and Mental Health Literacy: Research in Education (AWARE) trial was to evaluate two universal, school-based interventions that previously yielded evidence of impact in other countries: Youth Aware of Mental Health (YAM) and The Mental Health and High School Curriculum Guide (The Guide).</w:t>
      </w:r>
    </w:p>
    <w:p w14:paraId="597C95FF" w14:textId="77777777" w:rsidR="00EB68AD" w:rsidRDefault="00000000">
      <w:pPr>
        <w:pStyle w:val="NormalWeb"/>
        <w:shd w:val="clear" w:color="auto" w:fill="FFFFFF"/>
      </w:pPr>
      <w:r>
        <w:rPr>
          <w:rStyle w:val="Strong"/>
          <w:rFonts w:ascii="Segoe UI" w:hAnsi="Segoe UI" w:cs="Segoe UI"/>
          <w:color w:val="212121"/>
        </w:rPr>
        <w:t xml:space="preserve">Method: </w:t>
      </w:r>
      <w:r>
        <w:rPr>
          <w:rFonts w:ascii="Segoe UI" w:hAnsi="Segoe UI" w:cs="Segoe UI"/>
          <w:color w:val="212121"/>
        </w:rPr>
        <w:t xml:space="preserve">AWARE was a multi-school, parallel group, cluster </w:t>
      </w:r>
      <w:proofErr w:type="spellStart"/>
      <w:r>
        <w:rPr>
          <w:rFonts w:ascii="Segoe UI" w:hAnsi="Segoe UI" w:cs="Segoe UI"/>
          <w:color w:val="212121"/>
        </w:rPr>
        <w:t>randomised</w:t>
      </w:r>
      <w:proofErr w:type="spellEnd"/>
      <w:r>
        <w:rPr>
          <w:rFonts w:ascii="Segoe UI" w:hAnsi="Segoe UI" w:cs="Segoe UI"/>
          <w:color w:val="212121"/>
        </w:rPr>
        <w:t xml:space="preserve"> controlled trial in English secondary schools. Schools were allocated on a 1:1:1 ratio to one of two interventions or a usual practice control group, balanced on current levels of mental health provision within schools, school location, deprivation and urbanicity. Eligible participants were pupils in schools across England in Year 9 (aged 13–14 years) at baseline. The statistician, quantitative data analyst and economist were masked. Primary outcomes were depressive symptoms measured with the Short Mood and Feelings Questionnaire for YAM and intended help-seeking, measured with the General Help Seeking Questionnaire for The Guide (both at 3–6 months).</w:t>
      </w:r>
    </w:p>
    <w:p w14:paraId="1B9339F2" w14:textId="77777777" w:rsidR="00EB68AD" w:rsidRDefault="00000000">
      <w:pPr>
        <w:pStyle w:val="NormalWeb"/>
        <w:shd w:val="clear" w:color="auto" w:fill="FFFFFF"/>
      </w:pPr>
      <w:r>
        <w:rPr>
          <w:rStyle w:val="Strong"/>
          <w:rFonts w:ascii="Segoe UI" w:hAnsi="Segoe UI" w:cs="Segoe UI"/>
          <w:color w:val="212121"/>
        </w:rPr>
        <w:t xml:space="preserve">Results: </w:t>
      </w:r>
      <w:r>
        <w:rPr>
          <w:rFonts w:ascii="Segoe UI" w:hAnsi="Segoe UI" w:cs="Segoe UI"/>
          <w:color w:val="212121"/>
        </w:rPr>
        <w:t xml:space="preserve">153 schools were </w:t>
      </w:r>
      <w:proofErr w:type="spellStart"/>
      <w:r>
        <w:rPr>
          <w:rFonts w:ascii="Segoe UI" w:hAnsi="Segoe UI" w:cs="Segoe UI"/>
          <w:color w:val="212121"/>
        </w:rPr>
        <w:t>randomised</w:t>
      </w:r>
      <w:proofErr w:type="spellEnd"/>
      <w:r>
        <w:rPr>
          <w:rFonts w:ascii="Segoe UI" w:hAnsi="Segoe UI" w:cs="Segoe UI"/>
          <w:color w:val="212121"/>
        </w:rPr>
        <w:t xml:space="preserve">, including 12 166 pupils (NYAM = 4028 pupils, </w:t>
      </w:r>
      <w:proofErr w:type="spellStart"/>
      <w:r>
        <w:rPr>
          <w:rFonts w:ascii="Segoe UI" w:hAnsi="Segoe UI" w:cs="Segoe UI"/>
          <w:color w:val="212121"/>
        </w:rPr>
        <w:t>Nguide</w:t>
      </w:r>
      <w:proofErr w:type="spellEnd"/>
      <w:r>
        <w:rPr>
          <w:rFonts w:ascii="Segoe UI" w:hAnsi="Segoe UI" w:cs="Segoe UI"/>
          <w:color w:val="212121"/>
        </w:rPr>
        <w:t xml:space="preserve"> = 3997 pupils, </w:t>
      </w:r>
      <w:proofErr w:type="spellStart"/>
      <w:r>
        <w:rPr>
          <w:rFonts w:ascii="Segoe UI" w:hAnsi="Segoe UI" w:cs="Segoe UI"/>
          <w:color w:val="212121"/>
        </w:rPr>
        <w:t>Ncontrol</w:t>
      </w:r>
      <w:proofErr w:type="spellEnd"/>
      <w:r>
        <w:rPr>
          <w:rFonts w:ascii="Segoe UI" w:hAnsi="Segoe UI" w:cs="Segoe UI"/>
          <w:color w:val="212121"/>
        </w:rPr>
        <w:t xml:space="preserve"> = 4141 pupils). We found that for YAM vs control (N = </w:t>
      </w:r>
      <w:r>
        <w:rPr>
          <w:rFonts w:ascii="Segoe UI" w:hAnsi="Segoe UI" w:cs="Segoe UI"/>
          <w:color w:val="212121"/>
        </w:rPr>
        <w:lastRenderedPageBreak/>
        <w:t>5516) there was no improvement in depressive symptoms (</w:t>
      </w:r>
      <w:proofErr w:type="spellStart"/>
      <w:r>
        <w:rPr>
          <w:rFonts w:ascii="Segoe UI" w:hAnsi="Segoe UI" w:cs="Segoe UI"/>
          <w:color w:val="212121"/>
        </w:rPr>
        <w:t>s.m.d</w:t>
      </w:r>
      <w:proofErr w:type="spellEnd"/>
      <w:r>
        <w:rPr>
          <w:rFonts w:ascii="Segoe UI" w:hAnsi="Segoe UI" w:cs="Segoe UI"/>
          <w:color w:val="212121"/>
        </w:rPr>
        <w:t>. = 0.02; 95% CI –0.05 to 0.10), and for The Guide vs control (N = 5409) we found increased intended help-seeking compared with the control group (</w:t>
      </w:r>
      <w:proofErr w:type="spellStart"/>
      <w:r>
        <w:rPr>
          <w:rFonts w:ascii="Segoe UI" w:hAnsi="Segoe UI" w:cs="Segoe UI"/>
          <w:color w:val="212121"/>
        </w:rPr>
        <w:t>s.m.d</w:t>
      </w:r>
      <w:proofErr w:type="spellEnd"/>
      <w:r>
        <w:rPr>
          <w:rFonts w:ascii="Segoe UI" w:hAnsi="Segoe UI" w:cs="Segoe UI"/>
          <w:color w:val="212121"/>
        </w:rPr>
        <w:t>. = 0.10; 95% CI 0.02 to 0.19). A notable minority of schools were unable to deliver YAM because of challenges in implementing it. Increased depressive symptoms scores were observed in both intervention conditions, compared with control at the longer-term follow-up.</w:t>
      </w:r>
    </w:p>
    <w:p w14:paraId="7A22B860" w14:textId="77777777" w:rsidR="00EB68AD" w:rsidRDefault="00000000">
      <w:pPr>
        <w:pStyle w:val="NormalWeb"/>
        <w:shd w:val="clear" w:color="auto" w:fill="FFFFFF"/>
      </w:pPr>
      <w:r>
        <w:rPr>
          <w:rStyle w:val="Strong"/>
          <w:rFonts w:ascii="Segoe UI" w:hAnsi="Segoe UI" w:cs="Segoe UI"/>
          <w:color w:val="212121"/>
        </w:rPr>
        <w:t xml:space="preserve">Conclusions: </w:t>
      </w:r>
      <w:r>
        <w:rPr>
          <w:rFonts w:ascii="Segoe UI" w:hAnsi="Segoe UI" w:cs="Segoe UI"/>
          <w:color w:val="212121"/>
        </w:rPr>
        <w:t>The findings indicate that participating in The Guide is effective at improving intended help-seeking. However, due to the increases in depressive symptoms associated with each intervention at the long-term follow-up, further consideration is needed before widespread implementation of these interventions in England.</w:t>
      </w:r>
    </w:p>
    <w:p w14:paraId="2108354F" w14:textId="77777777" w:rsidR="00EB68AD" w:rsidRDefault="00EB68AD">
      <w:pPr>
        <w:shd w:val="clear" w:color="auto" w:fill="FFFFFF"/>
        <w:spacing w:after="0" w:line="240" w:lineRule="auto"/>
      </w:pPr>
    </w:p>
    <w:p w14:paraId="52F1E9E5" w14:textId="77777777" w:rsidR="00EB68AD" w:rsidRDefault="00000000">
      <w:pPr>
        <w:pStyle w:val="Heading1"/>
        <w:shd w:val="clear" w:color="auto" w:fill="FFFFFF"/>
      </w:pPr>
      <w:r>
        <w:rPr>
          <w:rFonts w:ascii="Merriweather" w:hAnsi="Merriweather"/>
          <w:color w:val="212121"/>
        </w:rPr>
        <w:t>Changes in Genetic Contributions to ASD and ADHD by Year of Diagnosis</w:t>
      </w:r>
    </w:p>
    <w:p w14:paraId="25A6D9FF" w14:textId="77777777" w:rsidR="00EB68AD" w:rsidRDefault="00000000">
      <w:pPr>
        <w:shd w:val="clear" w:color="auto" w:fill="FFFFFF"/>
        <w:spacing w:after="0" w:line="240" w:lineRule="auto"/>
      </w:pPr>
      <w:r>
        <w:rPr>
          <w:rFonts w:ascii="Segoe UI" w:hAnsi="Segoe UI" w:cs="Segoe UI"/>
          <w:color w:val="212121"/>
        </w:rPr>
        <w:t xml:space="preserve">LaBianca S, Lousdal ML, Krebs MD, Hansen OS, Hellberg KLG, Lundberg M, et al. Changes in Genetic Contributions to ASD and ADHD by Year of Diagnosis. JAMA Psychiatry. 2026;83(9):921-929. </w:t>
      </w:r>
      <w:proofErr w:type="spellStart"/>
      <w:r>
        <w:rPr>
          <w:rFonts w:ascii="Segoe UI" w:hAnsi="Segoe UI" w:cs="Segoe UI"/>
          <w:color w:val="212121"/>
        </w:rPr>
        <w:t>doi</w:t>
      </w:r>
      <w:proofErr w:type="spellEnd"/>
      <w:r>
        <w:rPr>
          <w:rFonts w:ascii="Segoe UI" w:hAnsi="Segoe UI" w:cs="Segoe UI"/>
          <w:color w:val="212121"/>
        </w:rPr>
        <w:t xml:space="preserve">: 10.1001/jamapsychiatry.2026.1450 </w:t>
      </w:r>
      <w:hyperlink r:id="rId25" w:history="1">
        <w:r>
          <w:rPr>
            <w:rStyle w:val="Hyperlink"/>
            <w:rFonts w:ascii="Segoe UI" w:hAnsi="Segoe UI" w:cs="Segoe UI"/>
          </w:rPr>
          <w:t>PMID: 42268594</w:t>
        </w:r>
      </w:hyperlink>
      <w:r>
        <w:rPr>
          <w:rFonts w:ascii="Segoe UI" w:hAnsi="Segoe UI" w:cs="Segoe UI"/>
          <w:color w:val="212121"/>
        </w:rPr>
        <w:t>.</w:t>
      </w:r>
    </w:p>
    <w:p w14:paraId="0D05E362" w14:textId="77777777" w:rsidR="00EB68AD" w:rsidRDefault="00000000">
      <w:pPr>
        <w:pStyle w:val="NormalWeb"/>
        <w:shd w:val="clear" w:color="auto" w:fill="FFFFFF"/>
      </w:pPr>
      <w:r>
        <w:rPr>
          <w:rStyle w:val="Strong"/>
          <w:rFonts w:ascii="Segoe UI" w:hAnsi="Segoe UI" w:cs="Segoe UI"/>
          <w:color w:val="212121"/>
        </w:rPr>
        <w:t xml:space="preserve">Importance: </w:t>
      </w:r>
      <w:r>
        <w:rPr>
          <w:rFonts w:ascii="Segoe UI" w:hAnsi="Segoe UI" w:cs="Segoe UI"/>
          <w:color w:val="212121"/>
        </w:rPr>
        <w:t>The incidences of attention-deficit/hyperactivity disorder (ADHD) and autism spectrum disorder (ASD) have increased markedly over recent decades, raising concerns about the emergence of new risk factors. Current literature typically attributes increased rates to changes in diagnostic practice, stigmatization, and awareness, but critically few studies have explored changes in underlying risk factors.</w:t>
      </w:r>
    </w:p>
    <w:p w14:paraId="35F0CE9D" w14:textId="77777777" w:rsidR="00EB68AD" w:rsidRDefault="00000000">
      <w:pPr>
        <w:pStyle w:val="NormalWeb"/>
        <w:shd w:val="clear" w:color="auto" w:fill="FFFFFF"/>
      </w:pPr>
      <w:r>
        <w:rPr>
          <w:rStyle w:val="Strong"/>
          <w:rFonts w:ascii="Segoe UI" w:hAnsi="Segoe UI" w:cs="Segoe UI"/>
          <w:color w:val="212121"/>
        </w:rPr>
        <w:t xml:space="preserve">Objective: </w:t>
      </w:r>
      <w:r>
        <w:rPr>
          <w:rFonts w:ascii="Segoe UI" w:hAnsi="Segoe UI" w:cs="Segoe UI"/>
          <w:color w:val="212121"/>
        </w:rPr>
        <w:t>To assess changes in the genetic risk profile of individuals diagnosed with ASD or ADHD by year of incident diagnosis and explore results in comparison with those expected under simulated scenarios.</w:t>
      </w:r>
    </w:p>
    <w:p w14:paraId="723336B9" w14:textId="77777777" w:rsidR="00EB68AD" w:rsidRDefault="00000000">
      <w:pPr>
        <w:pStyle w:val="NormalWeb"/>
        <w:shd w:val="clear" w:color="auto" w:fill="FFFFFF"/>
      </w:pPr>
      <w:r>
        <w:rPr>
          <w:rStyle w:val="Strong"/>
          <w:rFonts w:ascii="Segoe UI" w:hAnsi="Segoe UI" w:cs="Segoe UI"/>
          <w:color w:val="212121"/>
        </w:rPr>
        <w:t xml:space="preserve">Design, Setting, and Participants: </w:t>
      </w:r>
      <w:r>
        <w:rPr>
          <w:rFonts w:ascii="Segoe UI" w:hAnsi="Segoe UI" w:cs="Segoe UI"/>
          <w:color w:val="212121"/>
        </w:rPr>
        <w:t>This cohort study used data from the Lundbeck Foundation Initiative for Integrative Psychiatric Research (iPSYCH2015) study, a population-based case-cohort in Denmark among individuals with incident diagnoses for ASD and ADHD made from 1994 to 2016. Data were analyzed from January 2024 until September 2025.</w:t>
      </w:r>
    </w:p>
    <w:p w14:paraId="31C7414F" w14:textId="77777777" w:rsidR="00EB68AD" w:rsidRDefault="00000000">
      <w:pPr>
        <w:pStyle w:val="NormalWeb"/>
        <w:shd w:val="clear" w:color="auto" w:fill="FFFFFF"/>
      </w:pPr>
      <w:r>
        <w:rPr>
          <w:rStyle w:val="Strong"/>
          <w:rFonts w:ascii="Segoe UI" w:hAnsi="Segoe UI" w:cs="Segoe UI"/>
          <w:color w:val="212121"/>
        </w:rPr>
        <w:t xml:space="preserve">Exposure: </w:t>
      </w:r>
      <w:r>
        <w:rPr>
          <w:rFonts w:ascii="Segoe UI" w:hAnsi="Segoe UI" w:cs="Segoe UI"/>
          <w:color w:val="212121"/>
        </w:rPr>
        <w:t>Year of incident diagnosis. Regression models tested changes in the mean genetic risk profile of individuals diagnosed in each consecutive year (1994-2016), adjusting for age, sex, and ancestry.</w:t>
      </w:r>
    </w:p>
    <w:p w14:paraId="44212EF8" w14:textId="77777777" w:rsidR="00EB68AD" w:rsidRDefault="00000000">
      <w:pPr>
        <w:pStyle w:val="NormalWeb"/>
        <w:shd w:val="clear" w:color="auto" w:fill="FFFFFF"/>
      </w:pPr>
      <w:r>
        <w:rPr>
          <w:rStyle w:val="Strong"/>
          <w:rFonts w:ascii="Segoe UI" w:hAnsi="Segoe UI" w:cs="Segoe UI"/>
          <w:color w:val="212121"/>
        </w:rPr>
        <w:lastRenderedPageBreak/>
        <w:t xml:space="preserve">Main Outcomes and Measures: </w:t>
      </w:r>
      <w:r>
        <w:rPr>
          <w:rFonts w:ascii="Segoe UI" w:hAnsi="Segoe UI" w:cs="Segoe UI"/>
          <w:color w:val="212121"/>
        </w:rPr>
        <w:t>Polygenic scores for psychiatric (ADHD, ASD, depression, bipolar, and schizophrenia) and cognitive-behavioral (addiction, educational attainment, IQ, neuroticism, and risk-taking) outcomes were used to capture genetic risk profiles of diagnosed individuals. Empirical trends were compared with those expected under different simulated drivers of increasing rates.</w:t>
      </w:r>
    </w:p>
    <w:p w14:paraId="4813AD92" w14:textId="77777777" w:rsidR="00EB68AD" w:rsidRDefault="00000000">
      <w:pPr>
        <w:pStyle w:val="NormalWeb"/>
        <w:shd w:val="clear" w:color="auto" w:fill="FFFFFF"/>
      </w:pPr>
      <w:r>
        <w:rPr>
          <w:rStyle w:val="Strong"/>
          <w:rFonts w:ascii="Segoe UI" w:hAnsi="Segoe UI" w:cs="Segoe UI"/>
          <w:color w:val="212121"/>
        </w:rPr>
        <w:t xml:space="preserve">Results: </w:t>
      </w:r>
      <w:r>
        <w:rPr>
          <w:rFonts w:ascii="Segoe UI" w:hAnsi="Segoe UI" w:cs="Segoe UI"/>
          <w:color w:val="212121"/>
        </w:rPr>
        <w:t>A more recent ADHD diagnosis was associated with decreased genetic risk for ADHD as shown by difference in mean polygenic score (β estimate per 10-year increase, −0.06 SDs; 95% CI, −0.09 to −0.03 SDs; P = .001) and other disorders, including ASD, bipolar, and schizophrenia (</w:t>
      </w:r>
      <w:proofErr w:type="spellStart"/>
      <w:r>
        <w:rPr>
          <w:rFonts w:ascii="Segoe UI" w:hAnsi="Segoe UI" w:cs="Segoe UI"/>
          <w:color w:val="212121"/>
        </w:rPr>
        <w:t>eg</w:t>
      </w:r>
      <w:proofErr w:type="spellEnd"/>
      <w:r>
        <w:rPr>
          <w:rFonts w:ascii="Segoe UI" w:hAnsi="Segoe UI" w:cs="Segoe UI"/>
          <w:color w:val="212121"/>
        </w:rPr>
        <w:t>, ASD: β per 10-year increase, −0.07 SDs; 95% CI, −0.10 to −0.03 SDs; P &lt; .001). Similarly, a more recent ASD diagnosis was associated with decreased genetic risk for ASD (β per 10-year increase, −0.07 SDs; 95% CI, −0.10 to −0.04 SDs; P &lt; .001) and other disorders and traits, including bipolar disorder, schizophrenia, and educational attainment (</w:t>
      </w:r>
      <w:proofErr w:type="spellStart"/>
      <w:r>
        <w:rPr>
          <w:rFonts w:ascii="Segoe UI" w:hAnsi="Segoe UI" w:cs="Segoe UI"/>
          <w:color w:val="212121"/>
        </w:rPr>
        <w:t>eg</w:t>
      </w:r>
      <w:proofErr w:type="spellEnd"/>
      <w:r>
        <w:rPr>
          <w:rFonts w:ascii="Segoe UI" w:hAnsi="Segoe UI" w:cs="Segoe UI"/>
          <w:color w:val="212121"/>
        </w:rPr>
        <w:t>, bipolar disorder: β per 10-year increase, −0.05 SDs; 95% CI, −0.08 to −0.02 SDs; P = .001).</w:t>
      </w:r>
    </w:p>
    <w:p w14:paraId="35F68CD6" w14:textId="77777777" w:rsidR="00EB68AD" w:rsidRDefault="00000000">
      <w:pPr>
        <w:pStyle w:val="NormalWeb"/>
        <w:shd w:val="clear" w:color="auto" w:fill="FFFFFF"/>
      </w:pPr>
      <w:r>
        <w:rPr>
          <w:rStyle w:val="Strong"/>
          <w:rFonts w:ascii="Segoe UI" w:hAnsi="Segoe UI" w:cs="Segoe UI"/>
          <w:color w:val="212121"/>
        </w:rPr>
        <w:t xml:space="preserve">Conclusions: </w:t>
      </w:r>
      <w:r>
        <w:rPr>
          <w:rFonts w:ascii="Segoe UI" w:hAnsi="Segoe UI" w:cs="Segoe UI"/>
          <w:color w:val="212121"/>
        </w:rPr>
        <w:t>and Relevance: By analyzing multiple polygenic scores together with simulated expectations, this study could disambiguate among competing hypotheses about scenarios that may be associated with increased rates of ADHD and ASD diagnoses. Findings support broadening diagnostic criteria as an explanation for increasing rates, with implications for understanding changes in risk factors and clinical practice.</w:t>
      </w:r>
    </w:p>
    <w:p w14:paraId="4E85BC91" w14:textId="77777777" w:rsidR="00EB68AD" w:rsidRDefault="00EB68AD">
      <w:pPr>
        <w:shd w:val="clear" w:color="auto" w:fill="FFFFFF"/>
        <w:spacing w:after="0" w:line="240" w:lineRule="auto"/>
      </w:pPr>
    </w:p>
    <w:p w14:paraId="7B9FE3CF" w14:textId="77777777" w:rsidR="00EB68AD" w:rsidRDefault="00000000">
      <w:pPr>
        <w:pStyle w:val="Heading1"/>
        <w:shd w:val="clear" w:color="auto" w:fill="FFFFFF"/>
      </w:pPr>
      <w:r>
        <w:rPr>
          <w:rFonts w:ascii="Merriweather" w:hAnsi="Merriweather"/>
          <w:color w:val="212121"/>
        </w:rPr>
        <w:t>Escitalopram and brain reactivity to aggressive stimuli in premenstrual dysphoric disorder</w:t>
      </w:r>
    </w:p>
    <w:p w14:paraId="3FF373EF" w14:textId="77777777" w:rsidR="00EB68AD" w:rsidRDefault="00000000">
      <w:pPr>
        <w:shd w:val="clear" w:color="auto" w:fill="FFFFFF"/>
        <w:spacing w:after="0" w:line="240" w:lineRule="auto"/>
      </w:pPr>
      <w:proofErr w:type="spellStart"/>
      <w:r>
        <w:rPr>
          <w:rFonts w:ascii="Segoe UI" w:hAnsi="Segoe UI" w:cs="Segoe UI"/>
          <w:color w:val="212121"/>
        </w:rPr>
        <w:t>Dubol</w:t>
      </w:r>
      <w:proofErr w:type="spellEnd"/>
      <w:r>
        <w:rPr>
          <w:rFonts w:ascii="Segoe UI" w:hAnsi="Segoe UI" w:cs="Segoe UI"/>
          <w:color w:val="212121"/>
        </w:rPr>
        <w:t xml:space="preserve"> M, Gröndal M, Schmidt F, Fisher PM, </w:t>
      </w:r>
      <w:proofErr w:type="spellStart"/>
      <w:r>
        <w:rPr>
          <w:rFonts w:ascii="Segoe UI" w:hAnsi="Segoe UI" w:cs="Segoe UI"/>
          <w:color w:val="212121"/>
        </w:rPr>
        <w:t>Frokjaer</w:t>
      </w:r>
      <w:proofErr w:type="spellEnd"/>
      <w:r>
        <w:rPr>
          <w:rFonts w:ascii="Segoe UI" w:hAnsi="Segoe UI" w:cs="Segoe UI"/>
          <w:color w:val="212121"/>
        </w:rPr>
        <w:t xml:space="preserve"> VG, Wikström J, et al. Escitalopram and brain reactivity to aggressive stimuli in premenstrual dysphoric disorder. Br J Psychiatry. 2026:1-9. </w:t>
      </w:r>
      <w:proofErr w:type="spellStart"/>
      <w:r>
        <w:rPr>
          <w:rFonts w:ascii="Segoe UI" w:hAnsi="Segoe UI" w:cs="Segoe UI"/>
          <w:color w:val="212121"/>
        </w:rPr>
        <w:t>doi</w:t>
      </w:r>
      <w:proofErr w:type="spellEnd"/>
      <w:r>
        <w:rPr>
          <w:rFonts w:ascii="Segoe UI" w:hAnsi="Segoe UI" w:cs="Segoe UI"/>
          <w:color w:val="212121"/>
        </w:rPr>
        <w:t xml:space="preserve">: 10.1192/bjp.2026.10721 </w:t>
      </w:r>
      <w:hyperlink r:id="rId26" w:history="1">
        <w:r>
          <w:rPr>
            <w:rStyle w:val="Hyperlink"/>
            <w:rFonts w:ascii="Segoe UI" w:hAnsi="Segoe UI" w:cs="Segoe UI"/>
          </w:rPr>
          <w:t>PMID: 42515970</w:t>
        </w:r>
      </w:hyperlink>
      <w:r>
        <w:rPr>
          <w:rFonts w:ascii="Segoe UI" w:hAnsi="Segoe UI" w:cs="Segoe UI"/>
          <w:color w:val="212121"/>
        </w:rPr>
        <w:t>.</w:t>
      </w:r>
    </w:p>
    <w:p w14:paraId="79B37BB3" w14:textId="77777777" w:rsidR="00EB68AD" w:rsidRDefault="00000000">
      <w:pPr>
        <w:pStyle w:val="NormalWeb"/>
        <w:shd w:val="clear" w:color="auto" w:fill="FFFFFF"/>
      </w:pPr>
      <w:r>
        <w:rPr>
          <w:rStyle w:val="Strong"/>
          <w:rFonts w:ascii="Segoe UI" w:hAnsi="Segoe UI" w:cs="Segoe UI"/>
          <w:color w:val="212121"/>
        </w:rPr>
        <w:t xml:space="preserve">Background: </w:t>
      </w:r>
      <w:r>
        <w:rPr>
          <w:rFonts w:ascii="Segoe UI" w:hAnsi="Segoe UI" w:cs="Segoe UI"/>
          <w:color w:val="212121"/>
        </w:rPr>
        <w:t xml:space="preserve">Premenstrual dysphoric disorder (PMDD) is a condition linked to the menstrual cycle and </w:t>
      </w:r>
      <w:proofErr w:type="spellStart"/>
      <w:r>
        <w:rPr>
          <w:rFonts w:ascii="Segoe UI" w:hAnsi="Segoe UI" w:cs="Segoe UI"/>
          <w:color w:val="212121"/>
        </w:rPr>
        <w:t>characterised</w:t>
      </w:r>
      <w:proofErr w:type="spellEnd"/>
      <w:r>
        <w:rPr>
          <w:rFonts w:ascii="Segoe UI" w:hAnsi="Segoe UI" w:cs="Segoe UI"/>
          <w:color w:val="212121"/>
        </w:rPr>
        <w:t xml:space="preserve"> by cyclic emotional distress, irritability and anger, which can disrupt social functioning. Intermittent selective serotonin reuptake inhibitor treatment is effective in alleviating symptoms, yet the neural underpinnings of its efficacy in PMDD remain unknown.</w:t>
      </w:r>
    </w:p>
    <w:p w14:paraId="759D8719" w14:textId="77777777" w:rsidR="00EB68AD" w:rsidRDefault="00000000">
      <w:pPr>
        <w:pStyle w:val="NormalWeb"/>
        <w:shd w:val="clear" w:color="auto" w:fill="FFFFFF"/>
      </w:pPr>
      <w:r>
        <w:rPr>
          <w:rStyle w:val="Strong"/>
          <w:rFonts w:ascii="Segoe UI" w:hAnsi="Segoe UI" w:cs="Segoe UI"/>
          <w:color w:val="212121"/>
        </w:rPr>
        <w:t xml:space="preserve">Aims: </w:t>
      </w:r>
      <w:r>
        <w:rPr>
          <w:rFonts w:ascii="Segoe UI" w:hAnsi="Segoe UI" w:cs="Segoe UI"/>
          <w:color w:val="212121"/>
        </w:rPr>
        <w:t xml:space="preserve">This </w:t>
      </w:r>
      <w:proofErr w:type="spellStart"/>
      <w:r>
        <w:rPr>
          <w:rFonts w:ascii="Segoe UI" w:hAnsi="Segoe UI" w:cs="Segoe UI"/>
          <w:color w:val="212121"/>
        </w:rPr>
        <w:t>randomised</w:t>
      </w:r>
      <w:proofErr w:type="spellEnd"/>
      <w:r>
        <w:rPr>
          <w:rFonts w:ascii="Segoe UI" w:hAnsi="Segoe UI" w:cs="Segoe UI"/>
          <w:color w:val="212121"/>
        </w:rPr>
        <w:t>, placebo-controlled trial aimed to evaluate the impact of intermittent escitalopram treatment on PMDD symptoms and aggressiveness, and on neural responses to social provocation.</w:t>
      </w:r>
    </w:p>
    <w:p w14:paraId="3754BAB3" w14:textId="77777777" w:rsidR="00EB68AD" w:rsidRDefault="00000000">
      <w:pPr>
        <w:pStyle w:val="NormalWeb"/>
        <w:shd w:val="clear" w:color="auto" w:fill="FFFFFF"/>
      </w:pPr>
      <w:r>
        <w:rPr>
          <w:rStyle w:val="Strong"/>
          <w:rFonts w:ascii="Segoe UI" w:hAnsi="Segoe UI" w:cs="Segoe UI"/>
          <w:color w:val="212121"/>
        </w:rPr>
        <w:lastRenderedPageBreak/>
        <w:t xml:space="preserve">Method: </w:t>
      </w:r>
      <w:r>
        <w:rPr>
          <w:rFonts w:ascii="Segoe UI" w:hAnsi="Segoe UI" w:cs="Segoe UI"/>
          <w:color w:val="212121"/>
        </w:rPr>
        <w:t xml:space="preserve">Women with PMDD were </w:t>
      </w:r>
      <w:proofErr w:type="spellStart"/>
      <w:r>
        <w:rPr>
          <w:rFonts w:ascii="Segoe UI" w:hAnsi="Segoe UI" w:cs="Segoe UI"/>
          <w:color w:val="212121"/>
        </w:rPr>
        <w:t>randomised</w:t>
      </w:r>
      <w:proofErr w:type="spellEnd"/>
      <w:r>
        <w:rPr>
          <w:rFonts w:ascii="Segoe UI" w:hAnsi="Segoe UI" w:cs="Segoe UI"/>
          <w:color w:val="212121"/>
        </w:rPr>
        <w:t xml:space="preserve"> to receive either intermittent escitalopram (20 mg/day) or placebo during the luteal phase. Outcomes of interest were changes in mood (assessed by the Daily Record of Severity of Problems), self-rated state aggression (measured by the Aggression Questionnaire), and brain reactivity to aggressive stimuli assessed via functional magnetic resonance imaging (fMRI) in combination with the Point Subtraction Aggression Paradigm (PSAP).</w:t>
      </w:r>
    </w:p>
    <w:p w14:paraId="488B3F2A" w14:textId="77777777" w:rsidR="00EB68AD" w:rsidRDefault="00000000">
      <w:pPr>
        <w:pStyle w:val="NormalWeb"/>
        <w:shd w:val="clear" w:color="auto" w:fill="FFFFFF"/>
      </w:pPr>
      <w:r>
        <w:rPr>
          <w:rStyle w:val="Strong"/>
          <w:rFonts w:ascii="Segoe UI" w:hAnsi="Segoe UI" w:cs="Segoe UI"/>
          <w:color w:val="212121"/>
        </w:rPr>
        <w:t xml:space="preserve">Results: </w:t>
      </w:r>
      <w:r>
        <w:rPr>
          <w:rFonts w:ascii="Segoe UI" w:hAnsi="Segoe UI" w:cs="Segoe UI"/>
          <w:color w:val="212121"/>
        </w:rPr>
        <w:t>Intermittent escitalopram treatment significantly reduced PMDD symptoms compared with placebo, in particular irritability or anger (Cohen's d = -0.93, 95% CI [-1.48, -0.38]). Aggressiveness, which was positively associated with these symptoms (Pearson's r = 0.33, 95% CI [0.06, 0.55]), diminished following treatment (Cohen's d = -0.42, 95% CI [1.4 × 10-4, 0.84]), with the reduction in irritability or anger partly mediating this association (</w:t>
      </w:r>
      <w:proofErr w:type="spellStart"/>
      <w:r>
        <w:rPr>
          <w:rFonts w:ascii="Segoe UI" w:hAnsi="Segoe UI" w:cs="Segoe UI"/>
          <w:color w:val="212121"/>
        </w:rPr>
        <w:t>standardised</w:t>
      </w:r>
      <w:proofErr w:type="spellEnd"/>
      <w:r>
        <w:rPr>
          <w:rFonts w:ascii="Segoe UI" w:hAnsi="Segoe UI" w:cs="Segoe UI"/>
          <w:color w:val="212121"/>
        </w:rPr>
        <w:t xml:space="preserve"> indirect effect -0.32, 95% CI [-0.77, -0.03]). Escitalopram treatment was nominally associated with lower reactivity to provocation in the anterior insula, and anterior insula reactivity positively related to irritability or anger at follow-up.</w:t>
      </w:r>
    </w:p>
    <w:p w14:paraId="21031BCE" w14:textId="77777777" w:rsidR="00EB68AD" w:rsidRDefault="00000000">
      <w:pPr>
        <w:pStyle w:val="NormalWeb"/>
        <w:shd w:val="clear" w:color="auto" w:fill="FFFFFF"/>
      </w:pPr>
      <w:r>
        <w:rPr>
          <w:rStyle w:val="Strong"/>
          <w:rFonts w:ascii="Segoe UI" w:hAnsi="Segoe UI" w:cs="Segoe UI"/>
          <w:color w:val="212121"/>
        </w:rPr>
        <w:t xml:space="preserve">Conclusions: </w:t>
      </w:r>
      <w:r>
        <w:rPr>
          <w:rFonts w:ascii="Segoe UI" w:hAnsi="Segoe UI" w:cs="Segoe UI"/>
          <w:color w:val="212121"/>
        </w:rPr>
        <w:t xml:space="preserve">This </w:t>
      </w:r>
      <w:proofErr w:type="spellStart"/>
      <w:r>
        <w:rPr>
          <w:rFonts w:ascii="Segoe UI" w:hAnsi="Segoe UI" w:cs="Segoe UI"/>
          <w:color w:val="212121"/>
        </w:rPr>
        <w:t>randomised</w:t>
      </w:r>
      <w:proofErr w:type="spellEnd"/>
      <w:r>
        <w:rPr>
          <w:rFonts w:ascii="Segoe UI" w:hAnsi="Segoe UI" w:cs="Segoe UI"/>
          <w:color w:val="212121"/>
        </w:rPr>
        <w:t xml:space="preserve"> controlled trial confirms escitalopram as an effective treatment for PMDD and points to a potential neural mechanism—modulation of anterior insula reactivity to social provocation—underlying the therapeutic effects of SSRIs on irritability and aggressiveness in PMDD.</w:t>
      </w:r>
    </w:p>
    <w:p w14:paraId="0F4E76BF" w14:textId="77777777" w:rsidR="00EB68AD" w:rsidRDefault="00EB68AD">
      <w:pPr>
        <w:shd w:val="clear" w:color="auto" w:fill="FFFFFF"/>
        <w:spacing w:after="0" w:line="240" w:lineRule="auto"/>
      </w:pPr>
    </w:p>
    <w:p w14:paraId="502E26BF" w14:textId="77777777" w:rsidR="00EB68AD" w:rsidRDefault="00000000">
      <w:pPr>
        <w:pStyle w:val="Heading1"/>
        <w:shd w:val="clear" w:color="auto" w:fill="FFFFFF"/>
      </w:pPr>
      <w:r>
        <w:rPr>
          <w:rFonts w:ascii="Merriweather" w:hAnsi="Merriweather"/>
          <w:color w:val="212121"/>
        </w:rPr>
        <w:t>Reliability of psychiatric diagnoses in the 21st century</w:t>
      </w:r>
    </w:p>
    <w:p w14:paraId="1591516B" w14:textId="77777777" w:rsidR="00EB68AD" w:rsidRDefault="00000000">
      <w:pPr>
        <w:shd w:val="clear" w:color="auto" w:fill="FFFFFF"/>
        <w:spacing w:after="0" w:line="240" w:lineRule="auto"/>
      </w:pPr>
      <w:r>
        <w:rPr>
          <w:rFonts w:ascii="Segoe UI" w:hAnsi="Segoe UI" w:cs="Segoe UI"/>
          <w:color w:val="212121"/>
        </w:rPr>
        <w:t xml:space="preserve">Boberg M, Henriksen MG, Berge J, </w:t>
      </w:r>
      <w:proofErr w:type="spellStart"/>
      <w:r>
        <w:rPr>
          <w:rFonts w:ascii="Segoe UI" w:hAnsi="Segoe UI" w:cs="Segoe UI"/>
          <w:color w:val="212121"/>
        </w:rPr>
        <w:t>Fascendini</w:t>
      </w:r>
      <w:proofErr w:type="spellEnd"/>
      <w:r>
        <w:rPr>
          <w:rFonts w:ascii="Segoe UI" w:hAnsi="Segoe UI" w:cs="Segoe UI"/>
          <w:color w:val="212121"/>
        </w:rPr>
        <w:t xml:space="preserve"> N, Jandl M, </w:t>
      </w:r>
      <w:proofErr w:type="spellStart"/>
      <w:r>
        <w:rPr>
          <w:rFonts w:ascii="Segoe UI" w:hAnsi="Segoe UI" w:cs="Segoe UI"/>
          <w:color w:val="212121"/>
        </w:rPr>
        <w:t>Karakuła-Juchnowicz</w:t>
      </w:r>
      <w:proofErr w:type="spellEnd"/>
      <w:r>
        <w:rPr>
          <w:rFonts w:ascii="Segoe UI" w:hAnsi="Segoe UI" w:cs="Segoe UI"/>
          <w:color w:val="212121"/>
        </w:rPr>
        <w:t xml:space="preserve"> H, et al. Reliability of psychiatric diagnoses in the 21st century. Front Psychiatry. </w:t>
      </w:r>
      <w:proofErr w:type="gramStart"/>
      <w:r>
        <w:rPr>
          <w:rFonts w:ascii="Segoe UI" w:hAnsi="Segoe UI" w:cs="Segoe UI"/>
          <w:color w:val="212121"/>
        </w:rPr>
        <w:t>2026;17:1891625</w:t>
      </w:r>
      <w:proofErr w:type="gramEnd"/>
      <w:r>
        <w:rPr>
          <w:rFonts w:ascii="Segoe UI" w:hAnsi="Segoe UI" w:cs="Segoe UI"/>
          <w:color w:val="212121"/>
        </w:rPr>
        <w:t xml:space="preserve">. </w:t>
      </w:r>
      <w:proofErr w:type="spellStart"/>
      <w:r>
        <w:rPr>
          <w:rFonts w:ascii="Segoe UI" w:hAnsi="Segoe UI" w:cs="Segoe UI"/>
          <w:color w:val="212121"/>
        </w:rPr>
        <w:t>doi</w:t>
      </w:r>
      <w:proofErr w:type="spellEnd"/>
      <w:r>
        <w:rPr>
          <w:rFonts w:ascii="Segoe UI" w:hAnsi="Segoe UI" w:cs="Segoe UI"/>
          <w:color w:val="212121"/>
        </w:rPr>
        <w:t xml:space="preserve">: 10.3389/fpsyt.2026.1891625 </w:t>
      </w:r>
      <w:hyperlink r:id="rId27" w:history="1">
        <w:r>
          <w:rPr>
            <w:rStyle w:val="Hyperlink"/>
            <w:rFonts w:ascii="Segoe UI" w:hAnsi="Segoe UI" w:cs="Segoe UI"/>
          </w:rPr>
          <w:t>PMID: 42591784</w:t>
        </w:r>
      </w:hyperlink>
      <w:r>
        <w:rPr>
          <w:rFonts w:ascii="Segoe UI" w:hAnsi="Segoe UI" w:cs="Segoe UI"/>
          <w:color w:val="212121"/>
        </w:rPr>
        <w:t>.</w:t>
      </w:r>
    </w:p>
    <w:p w14:paraId="02ED3C28" w14:textId="77777777" w:rsidR="00EB68AD" w:rsidRDefault="00000000">
      <w:pPr>
        <w:pStyle w:val="NormalWeb"/>
        <w:shd w:val="clear" w:color="auto" w:fill="FFFFFF"/>
      </w:pPr>
      <w:r>
        <w:rPr>
          <w:rStyle w:val="Strong"/>
          <w:rFonts w:ascii="Segoe UI" w:hAnsi="Segoe UI" w:cs="Segoe UI"/>
          <w:color w:val="212121"/>
        </w:rPr>
        <w:t xml:space="preserve">Background: </w:t>
      </w:r>
      <w:r>
        <w:rPr>
          <w:rFonts w:ascii="Segoe UI" w:hAnsi="Segoe UI" w:cs="Segoe UI"/>
          <w:color w:val="212121"/>
        </w:rPr>
        <w:t>Reliable diagnosis is a cornerstone of medical practice, yet concerns about diagnostic reliability have long haunted psychiatry. In the 1970s, the US–UK Diagnostic Project revealed striking international discrepancies in diagnostic practice. Although operationalized diagnostic criteria were introduced to improve reliability, contemporary evidence indicates that substantial problems persist. To investigate this, we conducted a large-scale international study of diagnostic reliability among medical doctors using standardized clinical case vignettes.</w:t>
      </w:r>
    </w:p>
    <w:p w14:paraId="62298C8B" w14:textId="77777777" w:rsidR="00EB68AD" w:rsidRDefault="00000000">
      <w:pPr>
        <w:pStyle w:val="NormalWeb"/>
        <w:shd w:val="clear" w:color="auto" w:fill="FFFFFF"/>
      </w:pPr>
      <w:r>
        <w:rPr>
          <w:rStyle w:val="Strong"/>
          <w:rFonts w:ascii="Segoe UI" w:hAnsi="Segoe UI" w:cs="Segoe UI"/>
          <w:color w:val="212121"/>
        </w:rPr>
        <w:t xml:space="preserve">Material and methods: </w:t>
      </w:r>
      <w:r>
        <w:rPr>
          <w:rFonts w:ascii="Segoe UI" w:hAnsi="Segoe UI" w:cs="Segoe UI"/>
          <w:color w:val="212121"/>
        </w:rPr>
        <w:t xml:space="preserve">In this cross-sectional study, medical doctors working in adult psychiatry across 19 countries from two continents assigned ICD-10 diagnoses to written cases. Each doctor was randomly assigned two of nine available cases. Inter-rater reliability among medical doctors was assessed using </w:t>
      </w:r>
      <w:proofErr w:type="spellStart"/>
      <w:r>
        <w:rPr>
          <w:rFonts w:ascii="Segoe UI" w:hAnsi="Segoe UI" w:cs="Segoe UI"/>
          <w:color w:val="212121"/>
        </w:rPr>
        <w:t>Krippendorff's</w:t>
      </w:r>
      <w:proofErr w:type="spellEnd"/>
      <w:r>
        <w:rPr>
          <w:rFonts w:ascii="Segoe UI" w:hAnsi="Segoe UI" w:cs="Segoe UI"/>
          <w:color w:val="212121"/>
        </w:rPr>
        <w:t xml:space="preserve"> α. Diagnostic </w:t>
      </w:r>
      <w:r>
        <w:rPr>
          <w:rFonts w:ascii="Segoe UI" w:hAnsi="Segoe UI" w:cs="Segoe UI"/>
          <w:color w:val="212121"/>
        </w:rPr>
        <w:lastRenderedPageBreak/>
        <w:t>variability at case-level was quantified using Shannon entropy. We also calculated diagnostic accuracy as concordance with predefined best-estimate reference diagnoses.</w:t>
      </w:r>
    </w:p>
    <w:p w14:paraId="6F018B4F" w14:textId="77777777" w:rsidR="00EB68AD" w:rsidRDefault="00000000">
      <w:pPr>
        <w:pStyle w:val="NormalWeb"/>
        <w:shd w:val="clear" w:color="auto" w:fill="FFFFFF"/>
      </w:pPr>
      <w:r>
        <w:rPr>
          <w:rStyle w:val="Strong"/>
          <w:rFonts w:ascii="Segoe UI" w:hAnsi="Segoe UI" w:cs="Segoe UI"/>
          <w:color w:val="212121"/>
        </w:rPr>
        <w:t xml:space="preserve">Results: </w:t>
      </w:r>
      <w:r>
        <w:rPr>
          <w:rFonts w:ascii="Segoe UI" w:hAnsi="Segoe UI" w:cs="Segoe UI"/>
          <w:color w:val="212121"/>
        </w:rPr>
        <w:t>A total of 1,038 medical doctors provided 1,902 diagnostic assessments across nine cases. Inter-rater reliability among medical doctors was modest (</w:t>
      </w:r>
      <w:proofErr w:type="spellStart"/>
      <w:r>
        <w:rPr>
          <w:rFonts w:ascii="Segoe UI" w:hAnsi="Segoe UI" w:cs="Segoe UI"/>
          <w:color w:val="212121"/>
        </w:rPr>
        <w:t>Krippendorff's</w:t>
      </w:r>
      <w:proofErr w:type="spellEnd"/>
      <w:r>
        <w:rPr>
          <w:rFonts w:ascii="Segoe UI" w:hAnsi="Segoe UI" w:cs="Segoe UI"/>
          <w:color w:val="212121"/>
        </w:rPr>
        <w:t xml:space="preserve"> α = 0.48, CI: 0.46–0.51). Stratifying by doctor type, </w:t>
      </w:r>
      <w:proofErr w:type="spellStart"/>
      <w:r>
        <w:rPr>
          <w:rFonts w:ascii="Segoe UI" w:hAnsi="Segoe UI" w:cs="Segoe UI"/>
          <w:color w:val="212121"/>
        </w:rPr>
        <w:t>Krippendorff's</w:t>
      </w:r>
      <w:proofErr w:type="spellEnd"/>
      <w:r>
        <w:rPr>
          <w:rFonts w:ascii="Segoe UI" w:hAnsi="Segoe UI" w:cs="Segoe UI"/>
          <w:color w:val="212121"/>
        </w:rPr>
        <w:t xml:space="preserve"> α was 0.50 (CI 0.47–0.53) for psychiatrists and 0.45 for psychiatric residents. Overall diagnostic accuracy was 66%, with the lowest accuracy observed for cases depicting schizophrenia spectrum disorders. Diagnostic disagreements followed systematic patterns, with schizophrenia cases frequently misclassified as OCD, personality disorder, or other diagnoses.</w:t>
      </w:r>
    </w:p>
    <w:p w14:paraId="294A4C3D" w14:textId="77777777" w:rsidR="00EB68AD" w:rsidRDefault="00000000">
      <w:pPr>
        <w:pStyle w:val="NormalWeb"/>
        <w:shd w:val="clear" w:color="auto" w:fill="FFFFFF"/>
      </w:pPr>
      <w:r>
        <w:rPr>
          <w:rStyle w:val="Strong"/>
          <w:rFonts w:ascii="Segoe UI" w:hAnsi="Segoe UI" w:cs="Segoe UI"/>
          <w:color w:val="212121"/>
        </w:rPr>
        <w:t xml:space="preserve">Conclusions: </w:t>
      </w:r>
      <w:r>
        <w:rPr>
          <w:rFonts w:ascii="Segoe UI" w:hAnsi="Segoe UI" w:cs="Segoe UI"/>
          <w:color w:val="212121"/>
        </w:rPr>
        <w:t>Diagnostic inter-rater reliability among medical doctors remains limited, even under standardized conditions. The observed patterns of misclassification suggest that the variability in diagnostic assessments reflects systematic differences in clinical conceptualization rather than random error. Our conclusion echoes that of Spitzer and Fleiss, who stated that the reliability of psychiatric diagnosis "is not good." Despite the introduction of operational diagnostic criteria and rule-based classification, the overall reliability of psychiatric diagnosis assessed on written clinical cases remains poor.</w:t>
      </w:r>
    </w:p>
    <w:p w14:paraId="225B8146" w14:textId="77777777" w:rsidR="00EB68AD" w:rsidRDefault="00EB68AD">
      <w:pPr>
        <w:shd w:val="clear" w:color="auto" w:fill="FFFFFF"/>
        <w:spacing w:after="0" w:line="240" w:lineRule="auto"/>
      </w:pPr>
    </w:p>
    <w:p w14:paraId="2B7B2E5A" w14:textId="77777777" w:rsidR="00EB68AD" w:rsidRDefault="00000000">
      <w:pPr>
        <w:pStyle w:val="Heading1"/>
        <w:shd w:val="clear" w:color="auto" w:fill="FFFFFF"/>
      </w:pPr>
      <w:r>
        <w:rPr>
          <w:rFonts w:ascii="Merriweather" w:hAnsi="Merriweather"/>
          <w:color w:val="212121"/>
        </w:rPr>
        <w:t>Nature and the mind: Towards nature-based mental health care and prevention</w:t>
      </w:r>
    </w:p>
    <w:p w14:paraId="2FADF6F5" w14:textId="77777777" w:rsidR="00EB68AD" w:rsidRDefault="00000000">
      <w:pPr>
        <w:shd w:val="clear" w:color="auto" w:fill="FFFFFF"/>
        <w:spacing w:after="0" w:line="240" w:lineRule="auto"/>
      </w:pPr>
      <w:r>
        <w:rPr>
          <w:rFonts w:ascii="Segoe UI" w:hAnsi="Segoe UI" w:cs="Segoe UI"/>
          <w:color w:val="212121"/>
        </w:rPr>
        <w:t xml:space="preserve">Vivaldi G, </w:t>
      </w:r>
      <w:proofErr w:type="spellStart"/>
      <w:r>
        <w:rPr>
          <w:rFonts w:ascii="Segoe UI" w:hAnsi="Segoe UI" w:cs="Segoe UI"/>
          <w:color w:val="212121"/>
        </w:rPr>
        <w:t>Chukwusa</w:t>
      </w:r>
      <w:proofErr w:type="spellEnd"/>
      <w:r>
        <w:rPr>
          <w:rFonts w:ascii="Segoe UI" w:hAnsi="Segoe UI" w:cs="Segoe UI"/>
          <w:color w:val="212121"/>
        </w:rPr>
        <w:t xml:space="preserve"> E, Bridge N, Smythe M, </w:t>
      </w:r>
      <w:proofErr w:type="spellStart"/>
      <w:r>
        <w:rPr>
          <w:rFonts w:ascii="Segoe UI" w:hAnsi="Segoe UI" w:cs="Segoe UI"/>
          <w:color w:val="212121"/>
        </w:rPr>
        <w:t>Bakolis</w:t>
      </w:r>
      <w:proofErr w:type="spellEnd"/>
      <w:r>
        <w:rPr>
          <w:rFonts w:ascii="Segoe UI" w:hAnsi="Segoe UI" w:cs="Segoe UI"/>
          <w:color w:val="212121"/>
        </w:rPr>
        <w:t xml:space="preserve"> I, Page L, et al. Nature and the mind: Towards nature-based mental health care and prevention. PLOS Ment Health. 2026;3(8</w:t>
      </w:r>
      <w:proofErr w:type="gramStart"/>
      <w:r>
        <w:rPr>
          <w:rFonts w:ascii="Segoe UI" w:hAnsi="Segoe UI" w:cs="Segoe UI"/>
          <w:color w:val="212121"/>
        </w:rPr>
        <w:t>):e</w:t>
      </w:r>
      <w:proofErr w:type="gramEnd"/>
      <w:r>
        <w:rPr>
          <w:rFonts w:ascii="Segoe UI" w:hAnsi="Segoe UI" w:cs="Segoe UI"/>
          <w:color w:val="212121"/>
        </w:rPr>
        <w:t xml:space="preserve">0000647. </w:t>
      </w:r>
      <w:proofErr w:type="spellStart"/>
      <w:r>
        <w:rPr>
          <w:rFonts w:ascii="Segoe UI" w:hAnsi="Segoe UI" w:cs="Segoe UI"/>
          <w:color w:val="212121"/>
        </w:rPr>
        <w:t>doi</w:t>
      </w:r>
      <w:proofErr w:type="spellEnd"/>
      <w:r>
        <w:rPr>
          <w:rFonts w:ascii="Segoe UI" w:hAnsi="Segoe UI" w:cs="Segoe UI"/>
          <w:color w:val="212121"/>
        </w:rPr>
        <w:t xml:space="preserve">: 10.1371/journal.pmen.0000647 </w:t>
      </w:r>
      <w:hyperlink r:id="rId28" w:history="1">
        <w:r>
          <w:rPr>
            <w:rStyle w:val="Hyperlink"/>
            <w:rFonts w:ascii="Segoe UI" w:hAnsi="Segoe UI" w:cs="Segoe UI"/>
          </w:rPr>
          <w:t>PMID: 42647448</w:t>
        </w:r>
      </w:hyperlink>
      <w:r>
        <w:rPr>
          <w:rFonts w:ascii="Segoe UI" w:hAnsi="Segoe UI" w:cs="Segoe UI"/>
          <w:color w:val="212121"/>
        </w:rPr>
        <w:t>.</w:t>
      </w:r>
    </w:p>
    <w:p w14:paraId="3FE7DAB0" w14:textId="77777777" w:rsidR="00EB68AD" w:rsidRDefault="00000000">
      <w:pPr>
        <w:pStyle w:val="NormalWeb"/>
        <w:shd w:val="clear" w:color="auto" w:fill="FFFFFF"/>
      </w:pPr>
      <w:r>
        <w:rPr>
          <w:rFonts w:ascii="Segoe UI" w:hAnsi="Segoe UI" w:cs="Segoe UI"/>
          <w:color w:val="212121"/>
        </w:rPr>
        <w:t>The United Kingdom (UK) Government's recent 10 Year Health Plan for England aims to fix a "broken" and increasingly unaffordable health system through a shift from sickness to prevention, hospital to community, and analogue to digital, with a focus on mental as well as physical health. However, the 171-page strategy for a healthy nation does not contain a single reference to nature or biodiversity. We review the significant benefits of nature and biodiversity to health and outline how these benefits can and should be incorporated into the 10 Year Health Plan. We provide examples of effective approaches and techniques, describe challenges to implementation, and propose potential solutions. We focus on mental health, although many benefits will also apply to physical health. Harnessing nature and biodiversity could play a substantial role in supporting the UK's revised goals, particularly preventing illness and enhancing treatment at the community level.</w:t>
      </w:r>
    </w:p>
    <w:p w14:paraId="3CBD68EE" w14:textId="77777777" w:rsidR="00EB68AD" w:rsidRDefault="00EB68AD">
      <w:pPr>
        <w:shd w:val="clear" w:color="auto" w:fill="FFFFFF"/>
        <w:spacing w:after="0" w:line="240" w:lineRule="auto"/>
      </w:pPr>
    </w:p>
    <w:p w14:paraId="496F47E1" w14:textId="77777777" w:rsidR="00EB68AD" w:rsidRDefault="00000000">
      <w:pPr>
        <w:pStyle w:val="Heading1"/>
        <w:shd w:val="clear" w:color="auto" w:fill="FFFFFF"/>
      </w:pPr>
      <w:r>
        <w:rPr>
          <w:rFonts w:ascii="Merriweather" w:hAnsi="Merriweather"/>
          <w:color w:val="212121"/>
        </w:rPr>
        <w:lastRenderedPageBreak/>
        <w:t>Multimodal examination of the acute effects of cannabis on subjective and physiological stress-related outcomes: a randomized placebo-controlled laboratory study</w:t>
      </w:r>
    </w:p>
    <w:p w14:paraId="4D255F46" w14:textId="77777777" w:rsidR="00EB68AD" w:rsidRDefault="00000000">
      <w:pPr>
        <w:shd w:val="clear" w:color="auto" w:fill="FFFFFF"/>
        <w:spacing w:after="0" w:line="240" w:lineRule="auto"/>
      </w:pPr>
      <w:r>
        <w:rPr>
          <w:rFonts w:ascii="Segoe UI" w:hAnsi="Segoe UI" w:cs="Segoe UI"/>
          <w:color w:val="212121"/>
        </w:rPr>
        <w:t xml:space="preserve">Cuttler C, Proctor MA, </w:t>
      </w:r>
      <w:proofErr w:type="spellStart"/>
      <w:r>
        <w:rPr>
          <w:rFonts w:ascii="Segoe UI" w:hAnsi="Segoe UI" w:cs="Segoe UI"/>
          <w:color w:val="212121"/>
        </w:rPr>
        <w:t>Glodosky</w:t>
      </w:r>
      <w:proofErr w:type="spellEnd"/>
      <w:r>
        <w:rPr>
          <w:rFonts w:ascii="Segoe UI" w:hAnsi="Segoe UI" w:cs="Segoe UI"/>
          <w:color w:val="212121"/>
        </w:rPr>
        <w:t xml:space="preserve"> NC, Rahimi </w:t>
      </w:r>
      <w:proofErr w:type="spellStart"/>
      <w:r>
        <w:rPr>
          <w:rFonts w:ascii="Segoe UI" w:hAnsi="Segoe UI" w:cs="Segoe UI"/>
          <w:color w:val="212121"/>
        </w:rPr>
        <w:t>Azghan</w:t>
      </w:r>
      <w:proofErr w:type="spellEnd"/>
      <w:r>
        <w:rPr>
          <w:rFonts w:ascii="Segoe UI" w:hAnsi="Segoe UI" w:cs="Segoe UI"/>
          <w:color w:val="212121"/>
        </w:rPr>
        <w:t xml:space="preserve"> R, Fisher ZDG, Ghasemzadeh H, et al. Multimodal examination of the acute effects of cannabis on subjective and physiological stress-related outcomes: a randomized placebo-controlled laboratory study. Neuropsychopharmacology. 2026 Aug </w:t>
      </w:r>
      <w:proofErr w:type="gramStart"/>
      <w:r>
        <w:rPr>
          <w:rFonts w:ascii="Segoe UI" w:hAnsi="Segoe UI" w:cs="Segoe UI"/>
          <w:color w:val="212121"/>
        </w:rPr>
        <w:t>22 .</w:t>
      </w:r>
      <w:proofErr w:type="gramEnd"/>
      <w:r>
        <w:rPr>
          <w:rFonts w:ascii="Segoe UI" w:hAnsi="Segoe UI" w:cs="Segoe UI"/>
          <w:color w:val="212121"/>
        </w:rPr>
        <w:t xml:space="preserve"> </w:t>
      </w:r>
      <w:proofErr w:type="spellStart"/>
      <w:r>
        <w:rPr>
          <w:rFonts w:ascii="Segoe UI" w:hAnsi="Segoe UI" w:cs="Segoe UI"/>
          <w:color w:val="212121"/>
        </w:rPr>
        <w:t>doi</w:t>
      </w:r>
      <w:proofErr w:type="spellEnd"/>
      <w:r>
        <w:rPr>
          <w:rFonts w:ascii="Segoe UI" w:hAnsi="Segoe UI" w:cs="Segoe UI"/>
          <w:color w:val="212121"/>
        </w:rPr>
        <w:t xml:space="preserve">: 10.1038/s41386-026-02533-9 </w:t>
      </w:r>
      <w:hyperlink r:id="rId29" w:history="1">
        <w:r>
          <w:rPr>
            <w:rStyle w:val="Hyperlink"/>
            <w:rFonts w:ascii="Segoe UI" w:hAnsi="Segoe UI" w:cs="Segoe UI"/>
          </w:rPr>
          <w:t>PMID: 42632818</w:t>
        </w:r>
      </w:hyperlink>
      <w:r>
        <w:rPr>
          <w:rFonts w:ascii="Segoe UI" w:hAnsi="Segoe UI" w:cs="Segoe UI"/>
          <w:color w:val="212121"/>
        </w:rPr>
        <w:t>.</w:t>
      </w:r>
    </w:p>
    <w:p w14:paraId="2DC4E6C8" w14:textId="77777777" w:rsidR="00EB68AD" w:rsidRDefault="00000000">
      <w:pPr>
        <w:pStyle w:val="NormalWeb"/>
        <w:shd w:val="clear" w:color="auto" w:fill="FFFFFF"/>
      </w:pPr>
      <w:r>
        <w:rPr>
          <w:rFonts w:ascii="Segoe UI" w:hAnsi="Segoe UI" w:cs="Segoe UI"/>
          <w:color w:val="212121"/>
        </w:rPr>
        <w:t>People who use cannabis commonly report stress-relieving effects, yet no studies have simultaneously assessed the acute effects of cannabis on multiple stress systems under placebo-controlled conditions. We conducted a randomized, double-blind, placebo-controlled trial in which 120 people (56 men, 52 women, 12 non-binary/transgender) who regularly use cannabis were assigned to vape placebo, a moderate dose (20 mg Δ9-tetrahydrocannabinol [THC]), or a high dose (40 mg THC) of cannabis. Stress ratings and salivary cortisol samples were obtained before (T0), 5 minutes (T1), and 60 minutes (T2) after vaping. Participants wore an Embrace wristband continuously measuring electrodermal activity (EDA), heart rate (HR), and heart rate variability (HRV). These findings indicate that cannabis intoxication divergently modulates stress physiology, attenuating neuroendocrine and electrodermal responses while elevating cardiovascular arousal and producing subjective stress reductions comparable to placebo. Thus, common perceptions of stress relief do not reflect uniform suppression of stress-related outcomes. This has important implications for the widespread use of cannabis as a coping strategy.</w:t>
      </w:r>
    </w:p>
    <w:p w14:paraId="75D66523" w14:textId="77777777" w:rsidR="00EB68AD" w:rsidRDefault="00EB68AD">
      <w:pPr>
        <w:shd w:val="clear" w:color="auto" w:fill="FFFFFF"/>
        <w:spacing w:after="0" w:line="240" w:lineRule="auto"/>
      </w:pPr>
    </w:p>
    <w:p w14:paraId="3CF2F1CA" w14:textId="77777777" w:rsidR="00EB68AD" w:rsidRDefault="00000000">
      <w:pPr>
        <w:pStyle w:val="Heading1"/>
        <w:shd w:val="clear" w:color="auto" w:fill="FFFFFF"/>
      </w:pPr>
      <w:r>
        <w:rPr>
          <w:rFonts w:ascii="Merriweather" w:hAnsi="Merriweather"/>
          <w:color w:val="212121"/>
        </w:rPr>
        <w:t>Pramipexole treatment and substance use disorder risk in unipolar and bipolar depression: a Swedish nationwide register study</w:t>
      </w:r>
    </w:p>
    <w:p w14:paraId="4F32B8CF" w14:textId="77777777" w:rsidR="00EB68AD" w:rsidRDefault="00000000">
      <w:pPr>
        <w:shd w:val="clear" w:color="auto" w:fill="FFFFFF"/>
        <w:spacing w:after="0" w:line="240" w:lineRule="auto"/>
      </w:pPr>
      <w:r>
        <w:rPr>
          <w:rFonts w:ascii="Segoe UI" w:hAnsi="Segoe UI" w:cs="Segoe UI"/>
          <w:color w:val="212121"/>
        </w:rPr>
        <w:t xml:space="preserve">Lindström S, </w:t>
      </w:r>
      <w:proofErr w:type="spellStart"/>
      <w:r>
        <w:rPr>
          <w:rFonts w:ascii="Segoe UI" w:hAnsi="Segoe UI" w:cs="Segoe UI"/>
          <w:color w:val="212121"/>
        </w:rPr>
        <w:t>Wolfschlag</w:t>
      </w:r>
      <w:proofErr w:type="spellEnd"/>
      <w:r>
        <w:rPr>
          <w:rFonts w:ascii="Segoe UI" w:hAnsi="Segoe UI" w:cs="Segoe UI"/>
          <w:color w:val="212121"/>
        </w:rPr>
        <w:t xml:space="preserve"> M, Håkansson A, Berge J. Pramipexole treatment and substance use disorder risk in unipolar and bipolar depression: a Swedish nationwide register study. Front Psychiatry. </w:t>
      </w:r>
      <w:proofErr w:type="gramStart"/>
      <w:r>
        <w:rPr>
          <w:rFonts w:ascii="Segoe UI" w:hAnsi="Segoe UI" w:cs="Segoe UI"/>
          <w:color w:val="212121"/>
        </w:rPr>
        <w:t>2026;17:1919633</w:t>
      </w:r>
      <w:proofErr w:type="gramEnd"/>
      <w:r>
        <w:rPr>
          <w:rFonts w:ascii="Segoe UI" w:hAnsi="Segoe UI" w:cs="Segoe UI"/>
          <w:color w:val="212121"/>
        </w:rPr>
        <w:t xml:space="preserve">. </w:t>
      </w:r>
      <w:proofErr w:type="spellStart"/>
      <w:r>
        <w:rPr>
          <w:rFonts w:ascii="Segoe UI" w:hAnsi="Segoe UI" w:cs="Segoe UI"/>
          <w:color w:val="212121"/>
        </w:rPr>
        <w:t>doi</w:t>
      </w:r>
      <w:proofErr w:type="spellEnd"/>
      <w:r>
        <w:rPr>
          <w:rFonts w:ascii="Segoe UI" w:hAnsi="Segoe UI" w:cs="Segoe UI"/>
          <w:color w:val="212121"/>
        </w:rPr>
        <w:t xml:space="preserve">: 10.3389/fpsyt.2026.1919633 </w:t>
      </w:r>
      <w:hyperlink r:id="rId30" w:history="1">
        <w:r>
          <w:rPr>
            <w:rStyle w:val="Hyperlink"/>
            <w:rFonts w:ascii="Segoe UI" w:hAnsi="Segoe UI" w:cs="Segoe UI"/>
          </w:rPr>
          <w:t>PMID: 42638752</w:t>
        </w:r>
      </w:hyperlink>
      <w:r>
        <w:rPr>
          <w:rFonts w:ascii="Segoe UI" w:hAnsi="Segoe UI" w:cs="Segoe UI"/>
          <w:color w:val="212121"/>
        </w:rPr>
        <w:t>.</w:t>
      </w:r>
    </w:p>
    <w:p w14:paraId="67E8C2A6" w14:textId="77777777" w:rsidR="00EB68AD" w:rsidRDefault="00000000">
      <w:pPr>
        <w:pStyle w:val="NormalWeb"/>
        <w:shd w:val="clear" w:color="auto" w:fill="FFFFFF"/>
      </w:pPr>
      <w:r>
        <w:rPr>
          <w:rStyle w:val="Strong"/>
          <w:rFonts w:ascii="Segoe UI" w:hAnsi="Segoe UI" w:cs="Segoe UI"/>
          <w:color w:val="212121"/>
        </w:rPr>
        <w:t xml:space="preserve">Background: </w:t>
      </w:r>
      <w:r>
        <w:rPr>
          <w:rFonts w:ascii="Segoe UI" w:hAnsi="Segoe UI" w:cs="Segoe UI"/>
          <w:color w:val="212121"/>
        </w:rPr>
        <w:t xml:space="preserve">Over the past decades, evidence supporting the antidepressant efficacy of the dopamine agonist pramipexole as an augmentation strategy in mood disorders has accumulated. While dopaminergic treatments have been associated with </w:t>
      </w:r>
      <w:proofErr w:type="spellStart"/>
      <w:r>
        <w:rPr>
          <w:rFonts w:ascii="Segoe UI" w:hAnsi="Segoe UI" w:cs="Segoe UI"/>
          <w:color w:val="212121"/>
        </w:rPr>
        <w:t>behavioural</w:t>
      </w:r>
      <w:proofErr w:type="spellEnd"/>
      <w:r>
        <w:rPr>
          <w:rFonts w:ascii="Segoe UI" w:hAnsi="Segoe UI" w:cs="Segoe UI"/>
          <w:color w:val="212121"/>
        </w:rPr>
        <w:t xml:space="preserve"> adverse effects, the relationship between pramipexole treatment and incident substance use disorder in psychiatric populations remains poorly understood. Substance use disorder has not emerged as a reported adverse outcome in published studies of pramipexole in psychiatric populations. However, existing studies have primarily focused on antidepressant efficacy, short-term safety, and </w:t>
      </w:r>
      <w:proofErr w:type="spellStart"/>
      <w:r>
        <w:rPr>
          <w:rFonts w:ascii="Segoe UI" w:hAnsi="Segoe UI" w:cs="Segoe UI"/>
          <w:color w:val="212121"/>
        </w:rPr>
        <w:t>behavioural</w:t>
      </w:r>
      <w:proofErr w:type="spellEnd"/>
      <w:r>
        <w:rPr>
          <w:rFonts w:ascii="Segoe UI" w:hAnsi="Segoe UI" w:cs="Segoe UI"/>
          <w:color w:val="212121"/>
        </w:rPr>
        <w:t xml:space="preserve"> adverse effects during </w:t>
      </w:r>
      <w:r>
        <w:rPr>
          <w:rFonts w:ascii="Segoe UI" w:hAnsi="Segoe UI" w:cs="Segoe UI"/>
          <w:color w:val="212121"/>
        </w:rPr>
        <w:lastRenderedPageBreak/>
        <w:t xml:space="preserve">relatively brief periods of follow-up. Nationwide healthcare registers offer a complementary </w:t>
      </w:r>
      <w:proofErr w:type="spellStart"/>
      <w:r>
        <w:rPr>
          <w:rFonts w:ascii="Segoe UI" w:hAnsi="Segoe UI" w:cs="Segoe UI"/>
          <w:color w:val="212121"/>
        </w:rPr>
        <w:t>pharmacoepidemiological</w:t>
      </w:r>
      <w:proofErr w:type="spellEnd"/>
      <w:r>
        <w:rPr>
          <w:rFonts w:ascii="Segoe UI" w:hAnsi="Segoe UI" w:cs="Segoe UI"/>
          <w:color w:val="212121"/>
        </w:rPr>
        <w:t xml:space="preserve"> approach by enabling the study of uncommon or delayed outcomes in large populations treated under real-world conditions and over extended follow-up periods.</w:t>
      </w:r>
    </w:p>
    <w:p w14:paraId="67805842" w14:textId="77777777" w:rsidR="00EB68AD" w:rsidRDefault="00000000">
      <w:pPr>
        <w:pStyle w:val="NormalWeb"/>
        <w:shd w:val="clear" w:color="auto" w:fill="FFFFFF"/>
      </w:pPr>
      <w:r>
        <w:rPr>
          <w:rStyle w:val="Strong"/>
          <w:rFonts w:ascii="Segoe UI" w:hAnsi="Segoe UI" w:cs="Segoe UI"/>
          <w:color w:val="212121"/>
        </w:rPr>
        <w:t xml:space="preserve">Objective: </w:t>
      </w:r>
      <w:r>
        <w:rPr>
          <w:rFonts w:ascii="Segoe UI" w:hAnsi="Segoe UI" w:cs="Segoe UI"/>
          <w:color w:val="212121"/>
        </w:rPr>
        <w:t>To examine the association between cumulative pramipexole exposure and incident substance use disorder among individuals with unipolar depression or bipolar disorder. We further examined whether this association differed between unipolar depression and bipolar disorder and whether the findings indicated an exposure–response pattern.</w:t>
      </w:r>
    </w:p>
    <w:p w14:paraId="41C6C2C7" w14:textId="77777777" w:rsidR="00EB68AD" w:rsidRDefault="00000000">
      <w:pPr>
        <w:pStyle w:val="NormalWeb"/>
        <w:shd w:val="clear" w:color="auto" w:fill="FFFFFF"/>
      </w:pPr>
      <w:r>
        <w:rPr>
          <w:rStyle w:val="Strong"/>
          <w:rFonts w:ascii="Segoe UI" w:hAnsi="Segoe UI" w:cs="Segoe UI"/>
          <w:color w:val="212121"/>
        </w:rPr>
        <w:t xml:space="preserve">Methods: </w:t>
      </w:r>
      <w:r>
        <w:rPr>
          <w:rFonts w:ascii="Segoe UI" w:hAnsi="Segoe UI" w:cs="Segoe UI"/>
          <w:color w:val="212121"/>
        </w:rPr>
        <w:t xml:space="preserve">We </w:t>
      </w:r>
      <w:proofErr w:type="spellStart"/>
      <w:r>
        <w:rPr>
          <w:rFonts w:ascii="Segoe UI" w:hAnsi="Segoe UI" w:cs="Segoe UI"/>
          <w:color w:val="212121"/>
        </w:rPr>
        <w:t>utilised</w:t>
      </w:r>
      <w:proofErr w:type="spellEnd"/>
      <w:r>
        <w:rPr>
          <w:rFonts w:ascii="Segoe UI" w:hAnsi="Segoe UI" w:cs="Segoe UI"/>
          <w:color w:val="212121"/>
        </w:rPr>
        <w:t xml:space="preserve"> data from Swedish national registries to conduct a nationwide cohort study including individuals with unipolar depression or bipolar disorder treated in </w:t>
      </w:r>
      <w:proofErr w:type="spellStart"/>
      <w:r>
        <w:rPr>
          <w:rFonts w:ascii="Segoe UI" w:hAnsi="Segoe UI" w:cs="Segoe UI"/>
          <w:color w:val="212121"/>
        </w:rPr>
        <w:t>specialised</w:t>
      </w:r>
      <w:proofErr w:type="spellEnd"/>
      <w:r>
        <w:rPr>
          <w:rFonts w:ascii="Segoe UI" w:hAnsi="Segoe UI" w:cs="Segoe UI"/>
          <w:color w:val="212121"/>
        </w:rPr>
        <w:t xml:space="preserve"> mental health care (n = 3105) who were prescribed pramipexole. Cumulative pramipexole exposure was modelled longitudinally and </w:t>
      </w:r>
      <w:proofErr w:type="spellStart"/>
      <w:r>
        <w:rPr>
          <w:rFonts w:ascii="Segoe UI" w:hAnsi="Segoe UI" w:cs="Segoe UI"/>
          <w:color w:val="212121"/>
        </w:rPr>
        <w:t>analysed</w:t>
      </w:r>
      <w:proofErr w:type="spellEnd"/>
      <w:r>
        <w:rPr>
          <w:rFonts w:ascii="Segoe UI" w:hAnsi="Segoe UI" w:cs="Segoe UI"/>
          <w:color w:val="212121"/>
        </w:rPr>
        <w:t xml:space="preserve"> as a time-varying variable. The primary outcome was incident substance use disorder identified in </w:t>
      </w:r>
      <w:proofErr w:type="spellStart"/>
      <w:r>
        <w:rPr>
          <w:rFonts w:ascii="Segoe UI" w:hAnsi="Segoe UI" w:cs="Segoe UI"/>
          <w:color w:val="212121"/>
        </w:rPr>
        <w:t>specialised</w:t>
      </w:r>
      <w:proofErr w:type="spellEnd"/>
      <w:r>
        <w:rPr>
          <w:rFonts w:ascii="Segoe UI" w:hAnsi="Segoe UI" w:cs="Segoe UI"/>
          <w:color w:val="212121"/>
        </w:rPr>
        <w:t xml:space="preserve"> healthcare registers. Associations were examined using Cox proportional hazards models, with analyses separated by diagnostic subgroup.</w:t>
      </w:r>
    </w:p>
    <w:p w14:paraId="012B2E3A" w14:textId="77777777" w:rsidR="00EB68AD" w:rsidRDefault="00000000">
      <w:pPr>
        <w:pStyle w:val="NormalWeb"/>
        <w:shd w:val="clear" w:color="auto" w:fill="FFFFFF"/>
      </w:pPr>
      <w:r>
        <w:rPr>
          <w:rStyle w:val="Strong"/>
          <w:rFonts w:ascii="Segoe UI" w:hAnsi="Segoe UI" w:cs="Segoe UI"/>
          <w:color w:val="212121"/>
        </w:rPr>
        <w:t xml:space="preserve">Results: </w:t>
      </w:r>
      <w:r>
        <w:rPr>
          <w:rFonts w:ascii="Segoe UI" w:hAnsi="Segoe UI" w:cs="Segoe UI"/>
          <w:color w:val="212121"/>
        </w:rPr>
        <w:t>High cumulative exposure to pramipexole was associated with an increased risk of incident substance use disorder in the overall cohort (</w:t>
      </w:r>
      <w:proofErr w:type="spellStart"/>
      <w:r>
        <w:rPr>
          <w:rFonts w:ascii="Segoe UI" w:hAnsi="Segoe UI" w:cs="Segoe UI"/>
          <w:color w:val="212121"/>
        </w:rPr>
        <w:t>aHR</w:t>
      </w:r>
      <w:proofErr w:type="spellEnd"/>
      <w:r>
        <w:rPr>
          <w:rFonts w:ascii="Segoe UI" w:hAnsi="Segoe UI" w:cs="Segoe UI"/>
          <w:color w:val="212121"/>
        </w:rPr>
        <w:t xml:space="preserve"> 1.51, 95% CI 1.02–2.23), whereas intermediate exposure was not associated with elevated risk. In stratified analyses, the association was particularly pronounced among individuals with bipolar disorder, where high cumulative exposure was associated with more than a twofold increased risk (</w:t>
      </w:r>
      <w:proofErr w:type="spellStart"/>
      <w:r>
        <w:rPr>
          <w:rFonts w:ascii="Segoe UI" w:hAnsi="Segoe UI" w:cs="Segoe UI"/>
          <w:color w:val="212121"/>
        </w:rPr>
        <w:t>aHR</w:t>
      </w:r>
      <w:proofErr w:type="spellEnd"/>
      <w:r>
        <w:rPr>
          <w:rFonts w:ascii="Segoe UI" w:hAnsi="Segoe UI" w:cs="Segoe UI"/>
          <w:color w:val="212121"/>
        </w:rPr>
        <w:t xml:space="preserve"> 2.54, 95% CI 1.25–5.16). No significant association was observed among individuals with unipolar depression.</w:t>
      </w:r>
    </w:p>
    <w:p w14:paraId="70992A0E" w14:textId="77777777" w:rsidR="00EB68AD" w:rsidRDefault="00000000">
      <w:pPr>
        <w:pStyle w:val="NormalWeb"/>
        <w:shd w:val="clear" w:color="auto" w:fill="FFFFFF"/>
      </w:pPr>
      <w:r>
        <w:rPr>
          <w:rStyle w:val="Strong"/>
          <w:rFonts w:ascii="Segoe UI" w:hAnsi="Segoe UI" w:cs="Segoe UI"/>
          <w:color w:val="212121"/>
        </w:rPr>
        <w:t xml:space="preserve">Conclusions: </w:t>
      </w:r>
      <w:r>
        <w:rPr>
          <w:rFonts w:ascii="Segoe UI" w:hAnsi="Segoe UI" w:cs="Segoe UI"/>
          <w:color w:val="212121"/>
        </w:rPr>
        <w:t xml:space="preserve">High cumulative exposure to pramipexole was associated with increased risk of incident substance use disorder in individuals with mood disorders, with the strongest associations observed in bipolar disorder. Cumulative exposure to pramipexole was associated with an increased risk of incident substance use disorder in this nationwide cohort of individuals with mood disorders, with the strongest associations observed among patients with bipolar disorder and evidence of a dose-response pattern primarily at higher exposure levels. Although these findings require confirmation in further studies, they underscore the need to consider </w:t>
      </w:r>
      <w:proofErr w:type="spellStart"/>
      <w:r>
        <w:rPr>
          <w:rFonts w:ascii="Segoe UI" w:hAnsi="Segoe UI" w:cs="Segoe UI"/>
          <w:color w:val="212121"/>
        </w:rPr>
        <w:t>behavioural</w:t>
      </w:r>
      <w:proofErr w:type="spellEnd"/>
      <w:r>
        <w:rPr>
          <w:rFonts w:ascii="Segoe UI" w:hAnsi="Segoe UI" w:cs="Segoe UI"/>
          <w:color w:val="212121"/>
        </w:rPr>
        <w:t xml:space="preserve"> and addictive risks when prescribing dopaminergic agents in psychiatric populations and support enhanced monitoring strategies in clinically vulnerable groups.</w:t>
      </w:r>
    </w:p>
    <w:p w14:paraId="3EEF43C3" w14:textId="77777777" w:rsidR="00EB68AD" w:rsidRDefault="00EB68AD">
      <w:pPr>
        <w:shd w:val="clear" w:color="auto" w:fill="FFFFFF"/>
        <w:spacing w:after="0" w:line="240" w:lineRule="auto"/>
      </w:pPr>
    </w:p>
    <w:p w14:paraId="7C076BA0" w14:textId="77777777" w:rsidR="00EB68AD" w:rsidRDefault="00000000">
      <w:pPr>
        <w:pStyle w:val="Heading1"/>
        <w:shd w:val="clear" w:color="auto" w:fill="FFFFFF"/>
      </w:pPr>
      <w:r>
        <w:rPr>
          <w:rFonts w:ascii="Merriweather" w:hAnsi="Merriweather"/>
          <w:color w:val="212121"/>
        </w:rPr>
        <w:lastRenderedPageBreak/>
        <w:t>Safety and Mental Health Outcomes of Oregon State-Regulated Psilocybin Services</w:t>
      </w:r>
    </w:p>
    <w:p w14:paraId="43B8C685" w14:textId="77777777" w:rsidR="00EB68AD" w:rsidRDefault="00000000">
      <w:pPr>
        <w:shd w:val="clear" w:color="auto" w:fill="FFFFFF"/>
        <w:spacing w:after="0" w:line="240" w:lineRule="auto"/>
      </w:pPr>
      <w:r>
        <w:rPr>
          <w:rFonts w:ascii="Segoe UI" w:hAnsi="Segoe UI" w:cs="Segoe UI"/>
          <w:color w:val="212121"/>
        </w:rPr>
        <w:t xml:space="preserve">Korthuis PT, Cook RR, Gregoire D, Stauffer CS, Luoma JB, Pertl K, et al. Safety and Mental Health Outcomes of Oregon State-Regulated Psilocybin Services. JAMA </w:t>
      </w:r>
      <w:proofErr w:type="spellStart"/>
      <w:r>
        <w:rPr>
          <w:rFonts w:ascii="Segoe UI" w:hAnsi="Segoe UI" w:cs="Segoe UI"/>
          <w:color w:val="212121"/>
        </w:rPr>
        <w:t>Netw</w:t>
      </w:r>
      <w:proofErr w:type="spellEnd"/>
      <w:r>
        <w:rPr>
          <w:rFonts w:ascii="Segoe UI" w:hAnsi="Segoe UI" w:cs="Segoe UI"/>
          <w:color w:val="212121"/>
        </w:rPr>
        <w:t xml:space="preserve"> Open. 2026;9(8</w:t>
      </w:r>
      <w:proofErr w:type="gramStart"/>
      <w:r>
        <w:rPr>
          <w:rFonts w:ascii="Segoe UI" w:hAnsi="Segoe UI" w:cs="Segoe UI"/>
          <w:color w:val="212121"/>
        </w:rPr>
        <w:t>):e</w:t>
      </w:r>
      <w:proofErr w:type="gramEnd"/>
      <w:r>
        <w:rPr>
          <w:rFonts w:ascii="Segoe UI" w:hAnsi="Segoe UI" w:cs="Segoe UI"/>
          <w:color w:val="212121"/>
        </w:rPr>
        <w:t xml:space="preserve">2630608. </w:t>
      </w:r>
      <w:proofErr w:type="spellStart"/>
      <w:r>
        <w:rPr>
          <w:rFonts w:ascii="Segoe UI" w:hAnsi="Segoe UI" w:cs="Segoe UI"/>
          <w:color w:val="212121"/>
        </w:rPr>
        <w:t>doi</w:t>
      </w:r>
      <w:proofErr w:type="spellEnd"/>
      <w:r>
        <w:rPr>
          <w:rFonts w:ascii="Segoe UI" w:hAnsi="Segoe UI" w:cs="Segoe UI"/>
          <w:color w:val="212121"/>
        </w:rPr>
        <w:t xml:space="preserve">: 10.1001/jamanetworkopen.2026.30608 </w:t>
      </w:r>
      <w:hyperlink r:id="rId31" w:history="1">
        <w:r>
          <w:rPr>
            <w:rStyle w:val="Hyperlink"/>
            <w:rFonts w:ascii="Segoe UI" w:hAnsi="Segoe UI" w:cs="Segoe UI"/>
          </w:rPr>
          <w:t>PMID: 42616497</w:t>
        </w:r>
      </w:hyperlink>
      <w:r>
        <w:rPr>
          <w:rFonts w:ascii="Segoe UI" w:hAnsi="Segoe UI" w:cs="Segoe UI"/>
          <w:color w:val="212121"/>
        </w:rPr>
        <w:t>.</w:t>
      </w:r>
    </w:p>
    <w:p w14:paraId="22A4BDA6" w14:textId="77777777" w:rsidR="00EB68AD" w:rsidRDefault="00000000">
      <w:pPr>
        <w:pStyle w:val="NormalWeb"/>
        <w:shd w:val="clear" w:color="auto" w:fill="FFFFFF"/>
      </w:pPr>
      <w:r>
        <w:rPr>
          <w:rStyle w:val="Strong"/>
          <w:rFonts w:ascii="Segoe UI" w:hAnsi="Segoe UI" w:cs="Segoe UI"/>
          <w:color w:val="212121"/>
        </w:rPr>
        <w:t xml:space="preserve">Importance: </w:t>
      </w:r>
      <w:r>
        <w:rPr>
          <w:rFonts w:ascii="Segoe UI" w:hAnsi="Segoe UI" w:cs="Segoe UI"/>
          <w:color w:val="212121"/>
        </w:rPr>
        <w:t>Few data inform implementation of emerging state-regulated psilocybin programs.</w:t>
      </w:r>
    </w:p>
    <w:p w14:paraId="250C6146" w14:textId="77777777" w:rsidR="00EB68AD" w:rsidRDefault="00000000">
      <w:pPr>
        <w:pStyle w:val="NormalWeb"/>
        <w:shd w:val="clear" w:color="auto" w:fill="FFFFFF"/>
      </w:pPr>
      <w:r>
        <w:rPr>
          <w:rStyle w:val="Strong"/>
          <w:rFonts w:ascii="Segoe UI" w:hAnsi="Segoe UI" w:cs="Segoe UI"/>
          <w:color w:val="212121"/>
        </w:rPr>
        <w:t xml:space="preserve">Objective: </w:t>
      </w:r>
      <w:r>
        <w:rPr>
          <w:rFonts w:ascii="Segoe UI" w:hAnsi="Segoe UI" w:cs="Segoe UI"/>
          <w:color w:val="212121"/>
        </w:rPr>
        <w:t>The Open Psychedelic Evaluation Nexus (OPEN) aims to assess the safety and participant outcomes of Oregon's regulated psilocybin services.</w:t>
      </w:r>
    </w:p>
    <w:p w14:paraId="66FC7758" w14:textId="77777777" w:rsidR="00EB68AD" w:rsidRDefault="00000000">
      <w:pPr>
        <w:pStyle w:val="NormalWeb"/>
        <w:shd w:val="clear" w:color="auto" w:fill="FFFFFF"/>
      </w:pPr>
      <w:r>
        <w:rPr>
          <w:rStyle w:val="Strong"/>
          <w:rFonts w:ascii="Segoe UI" w:hAnsi="Segoe UI" w:cs="Segoe UI"/>
          <w:color w:val="212121"/>
        </w:rPr>
        <w:t xml:space="preserve">Design, Setting, and Participants: </w:t>
      </w:r>
      <w:r>
        <w:rPr>
          <w:rFonts w:ascii="Segoe UI" w:hAnsi="Segoe UI" w:cs="Segoe UI"/>
          <w:color w:val="212121"/>
        </w:rPr>
        <w:t>This cohort study included psilocybin clients enrolled between November 2024 and March 2026, with follow-up through June 2026, at 24 of 26 Oregon psilocybin service centers with active licenses. Eligible participants were consenting Oregon psilocybin services clients supervised by 83 licensed psilocybin facilitators. OPEN's client-facing platform collects confidential data at baseline and at 1 week, 1 month, and 3 months after psilocybin sessions supported by licensed facilitators.</w:t>
      </w:r>
    </w:p>
    <w:p w14:paraId="7E7B5EA8" w14:textId="77777777" w:rsidR="00EB68AD" w:rsidRDefault="00000000">
      <w:pPr>
        <w:pStyle w:val="NormalWeb"/>
        <w:shd w:val="clear" w:color="auto" w:fill="FFFFFF"/>
      </w:pPr>
      <w:r>
        <w:rPr>
          <w:rStyle w:val="Strong"/>
          <w:rFonts w:ascii="Segoe UI" w:hAnsi="Segoe UI" w:cs="Segoe UI"/>
          <w:color w:val="212121"/>
        </w:rPr>
        <w:t xml:space="preserve">Exposure: </w:t>
      </w:r>
      <w:r>
        <w:rPr>
          <w:rFonts w:ascii="Segoe UI" w:hAnsi="Segoe UI" w:cs="Segoe UI"/>
          <w:color w:val="212121"/>
        </w:rPr>
        <w:t>State-regulated psilocybin services administered by licensed facilitators at Oregon service centers.</w:t>
      </w:r>
    </w:p>
    <w:p w14:paraId="5DEB3E41" w14:textId="77777777" w:rsidR="00EB68AD" w:rsidRDefault="00000000">
      <w:pPr>
        <w:pStyle w:val="NormalWeb"/>
        <w:shd w:val="clear" w:color="auto" w:fill="FFFFFF"/>
      </w:pPr>
      <w:r>
        <w:rPr>
          <w:rStyle w:val="Strong"/>
          <w:rFonts w:ascii="Segoe UI" w:hAnsi="Segoe UI" w:cs="Segoe UI"/>
          <w:color w:val="212121"/>
        </w:rPr>
        <w:t xml:space="preserve">Main Outcomes and Measures: </w:t>
      </w:r>
      <w:r>
        <w:rPr>
          <w:rFonts w:ascii="Segoe UI" w:hAnsi="Segoe UI" w:cs="Segoe UI"/>
          <w:color w:val="212121"/>
        </w:rPr>
        <w:t>Mental health outcomes included symptoms of depression (measured by the Patient Health Questionnaire-9 [PHQ-9]), anxiety (measured by the Hospital Anxiety and Depression Scale [HADS]), and posttraumatic stress disorder (PTSD; measured by the 6-item PTSD Checklist [PCL-6]), reported as continuous scores and dichotomized as moderate-to-severe symptoms (PHQ-9, 10 or higher; HADS, 11 or higher; PCL-6, 14 or higher) vs less than moderate symptoms; life satisfaction dichotomized as survey answers of "agree" or "strongly agree" vs less than "agree"; mental well-being; quality of life; overall perceived benefit; and adverse reactions.</w:t>
      </w:r>
    </w:p>
    <w:p w14:paraId="24C01AC2" w14:textId="77777777" w:rsidR="00EB68AD" w:rsidRDefault="00000000">
      <w:pPr>
        <w:pStyle w:val="NormalWeb"/>
        <w:shd w:val="clear" w:color="auto" w:fill="FFFFFF"/>
      </w:pPr>
      <w:r>
        <w:rPr>
          <w:rStyle w:val="Strong"/>
          <w:rFonts w:ascii="Segoe UI" w:hAnsi="Segoe UI" w:cs="Segoe UI"/>
          <w:color w:val="212121"/>
        </w:rPr>
        <w:t xml:space="preserve">Results: </w:t>
      </w:r>
      <w:r>
        <w:rPr>
          <w:rFonts w:ascii="Segoe UI" w:hAnsi="Segoe UI" w:cs="Segoe UI"/>
          <w:color w:val="212121"/>
        </w:rPr>
        <w:t xml:space="preserve">A total of 346 participants (mean age, 49.5 years; 52.5% women; 86.7% White) were enrolled. At baseline, participants reported interests including self-improvement (68.5%), managing mental health symptoms (64.5%), navigating trauma (51.4%), and seeking greater connection with people, Earth, or nature (45.1%); 44.2% had not previously used psychedelics. Mean (SD) PHQ-9 depression scores declined from 9.3 (6.3) at baseline to 4.2 (4.4) at 1 month and 5.2 (4.9) at 3-month follow-up. Mean HADS anxiety scores decreased from 10.1 (4.3) at baseline to 5.6 (4.0) at 1 month and 6.0 (4.1) at 3 months. Mean (SD) PTSD symptom score (PCL-6) declined from 14.1 (4.9) at </w:t>
      </w:r>
      <w:r>
        <w:rPr>
          <w:rFonts w:ascii="Segoe UI" w:hAnsi="Segoe UI" w:cs="Segoe UI"/>
          <w:color w:val="212121"/>
        </w:rPr>
        <w:lastRenderedPageBreak/>
        <w:t>baseline to 10.7 (3.8) at 1 month and 10.4 (3.7) at 3 months. Moderate-to-severe mental health symptoms decreased for depression from baseline (42.2%) to 1 month (10.6%) (relative risk [RR], 0.26; 95% CI, 0.20-0.34). At 1 month, 91.5% of participants felt they had benefited from the experience and 64.9% ranked it among the 10 most meaningful experiences of their lives. Retention through 3 months was 90%. Serious adverse reactions were uncommon; only 7 participants reported the experience as harmful at 3 months.</w:t>
      </w:r>
    </w:p>
    <w:p w14:paraId="78CF4177" w14:textId="77777777" w:rsidR="00EB68AD" w:rsidRDefault="00000000">
      <w:pPr>
        <w:pStyle w:val="NormalWeb"/>
        <w:shd w:val="clear" w:color="auto" w:fill="FFFFFF"/>
      </w:pPr>
      <w:r>
        <w:rPr>
          <w:rStyle w:val="Strong"/>
          <w:rFonts w:ascii="Segoe UI" w:hAnsi="Segoe UI" w:cs="Segoe UI"/>
          <w:color w:val="212121"/>
        </w:rPr>
        <w:t xml:space="preserve">Conclusions: </w:t>
      </w:r>
      <w:r>
        <w:rPr>
          <w:rFonts w:ascii="Segoe UI" w:hAnsi="Segoe UI" w:cs="Segoe UI"/>
          <w:color w:val="212121"/>
        </w:rPr>
        <w:t>and Relevance: In this multisite cohort of participants receiving state-regulated psilocybin services in Oregon, serious adverse reactions were uncommon. Most participants reported improvements in mental health, wellness, and life satisfaction. Longitudinal findings support safety and potential benefits that can inform clinicians, policymakers, and the public as other state-regulated psychedelic services emerge.</w:t>
      </w:r>
    </w:p>
    <w:p w14:paraId="420F6CE3" w14:textId="77777777" w:rsidR="00EB68AD" w:rsidRDefault="00EB68AD">
      <w:pPr>
        <w:shd w:val="clear" w:color="auto" w:fill="FFFFFF"/>
        <w:spacing w:after="0" w:line="240" w:lineRule="auto"/>
      </w:pPr>
    </w:p>
    <w:p w14:paraId="64D127A4" w14:textId="77777777" w:rsidR="00EB68AD" w:rsidRDefault="00000000">
      <w:pPr>
        <w:pStyle w:val="Heading1"/>
        <w:shd w:val="clear" w:color="auto" w:fill="FFFFFF"/>
      </w:pPr>
      <w:r>
        <w:rPr>
          <w:rFonts w:ascii="Merriweather" w:hAnsi="Merriweather"/>
          <w:color w:val="212121"/>
        </w:rPr>
        <w:t>Online psychoeducation and assessment for borderline personality disorder as a first step of care: A pilot study assessing safety, feasibility, and mechanisms of change</w:t>
      </w:r>
    </w:p>
    <w:p w14:paraId="46EA9CFD" w14:textId="77777777" w:rsidR="00EB68AD" w:rsidRDefault="00000000">
      <w:pPr>
        <w:shd w:val="clear" w:color="auto" w:fill="FFFFFF"/>
        <w:spacing w:after="0" w:line="240" w:lineRule="auto"/>
      </w:pPr>
      <w:r>
        <w:rPr>
          <w:rFonts w:ascii="Segoe UI" w:hAnsi="Segoe UI" w:cs="Segoe UI"/>
          <w:color w:val="212121"/>
        </w:rPr>
        <w:t xml:space="preserve">Choi-Kain LW, Crisp DJ, Mermin S, Murray GE, Jurist JB, Masland SR, et al. Online psychoeducation and assessment for borderline personality disorder as a first step of care: A pilot study assessing safety, feasibility, and mechanisms of change. </w:t>
      </w:r>
      <w:proofErr w:type="spellStart"/>
      <w:r>
        <w:rPr>
          <w:rFonts w:ascii="Segoe UI" w:hAnsi="Segoe UI" w:cs="Segoe UI"/>
          <w:color w:val="212121"/>
        </w:rPr>
        <w:t>PLoS</w:t>
      </w:r>
      <w:proofErr w:type="spellEnd"/>
      <w:r>
        <w:rPr>
          <w:rFonts w:ascii="Segoe UI" w:hAnsi="Segoe UI" w:cs="Segoe UI"/>
          <w:color w:val="212121"/>
        </w:rPr>
        <w:t xml:space="preserve"> One. 2026;21(8</w:t>
      </w:r>
      <w:proofErr w:type="gramStart"/>
      <w:r>
        <w:rPr>
          <w:rFonts w:ascii="Segoe UI" w:hAnsi="Segoe UI" w:cs="Segoe UI"/>
          <w:color w:val="212121"/>
        </w:rPr>
        <w:t>):e</w:t>
      </w:r>
      <w:proofErr w:type="gramEnd"/>
      <w:r>
        <w:rPr>
          <w:rFonts w:ascii="Segoe UI" w:hAnsi="Segoe UI" w:cs="Segoe UI"/>
          <w:color w:val="212121"/>
        </w:rPr>
        <w:t xml:space="preserve">0353836. </w:t>
      </w:r>
      <w:proofErr w:type="spellStart"/>
      <w:r>
        <w:rPr>
          <w:rFonts w:ascii="Segoe UI" w:hAnsi="Segoe UI" w:cs="Segoe UI"/>
          <w:color w:val="212121"/>
        </w:rPr>
        <w:t>doi</w:t>
      </w:r>
      <w:proofErr w:type="spellEnd"/>
      <w:r>
        <w:rPr>
          <w:rFonts w:ascii="Segoe UI" w:hAnsi="Segoe UI" w:cs="Segoe UI"/>
          <w:color w:val="212121"/>
        </w:rPr>
        <w:t xml:space="preserve">: 10.1371/journal.pone.0353836 </w:t>
      </w:r>
      <w:hyperlink r:id="rId32" w:history="1">
        <w:r>
          <w:rPr>
            <w:rStyle w:val="Hyperlink"/>
            <w:rFonts w:ascii="Segoe UI" w:hAnsi="Segoe UI" w:cs="Segoe UI"/>
          </w:rPr>
          <w:t>PMID: 42616804</w:t>
        </w:r>
      </w:hyperlink>
      <w:r>
        <w:rPr>
          <w:rFonts w:ascii="Segoe UI" w:hAnsi="Segoe UI" w:cs="Segoe UI"/>
          <w:color w:val="212121"/>
        </w:rPr>
        <w:t>.</w:t>
      </w:r>
    </w:p>
    <w:p w14:paraId="31956AA8" w14:textId="77777777" w:rsidR="00EB68AD" w:rsidRDefault="00000000">
      <w:pPr>
        <w:pStyle w:val="NormalWeb"/>
        <w:shd w:val="clear" w:color="auto" w:fill="FFFFFF"/>
      </w:pPr>
      <w:r>
        <w:rPr>
          <w:rStyle w:val="Strong"/>
          <w:rFonts w:ascii="Segoe UI" w:hAnsi="Segoe UI" w:cs="Segoe UI"/>
          <w:color w:val="212121"/>
        </w:rPr>
        <w:t xml:space="preserve">Background: </w:t>
      </w:r>
      <w:r>
        <w:rPr>
          <w:rFonts w:ascii="Segoe UI" w:hAnsi="Segoe UI" w:cs="Segoe UI"/>
          <w:color w:val="212121"/>
        </w:rPr>
        <w:t>Treatment guidelines for borderline personality disorder (BPD) recommend assessment, diagnosis, and psychoeducation. We report on the feasibility and safety of a randomized controlled trial protocol of online psychoeducation, assessment, and personalized feedback as an immediate first step of care for BPD.</w:t>
      </w:r>
    </w:p>
    <w:p w14:paraId="4C297337" w14:textId="77777777" w:rsidR="00EB68AD" w:rsidRDefault="00000000">
      <w:pPr>
        <w:pStyle w:val="NormalWeb"/>
        <w:shd w:val="clear" w:color="auto" w:fill="FFFFFF"/>
      </w:pPr>
      <w:r>
        <w:rPr>
          <w:rStyle w:val="Strong"/>
          <w:rFonts w:ascii="Segoe UI" w:hAnsi="Segoe UI" w:cs="Segoe UI"/>
          <w:color w:val="212121"/>
        </w:rPr>
        <w:t xml:space="preserve">Methods: </w:t>
      </w:r>
      <w:r>
        <w:rPr>
          <w:rFonts w:ascii="Segoe UI" w:hAnsi="Segoe UI" w:cs="Segoe UI"/>
          <w:color w:val="212121"/>
        </w:rPr>
        <w:t>Newly diagnosed participants were randomized to receive 10 videos about BPD or general mental health for two weeks. Half the participants receiving BPD videos were randomized to receive personalized feedback on changes in symptom ratings and cognitive performance. Ecological momentary assessment (EMA) evaluated interpersonal interactions, emotions, and behaviors for 30 days. BPD symptoms, depression, and personality functioning were assessed at baseline, after videos, after feedback, and one month later.</w:t>
      </w:r>
    </w:p>
    <w:p w14:paraId="6D35EA0E" w14:textId="77777777" w:rsidR="00EB68AD" w:rsidRDefault="00000000">
      <w:pPr>
        <w:pStyle w:val="NormalWeb"/>
        <w:shd w:val="clear" w:color="auto" w:fill="FFFFFF"/>
      </w:pPr>
      <w:r>
        <w:rPr>
          <w:rStyle w:val="Strong"/>
          <w:rFonts w:ascii="Segoe UI" w:hAnsi="Segoe UI" w:cs="Segoe UI"/>
          <w:color w:val="212121"/>
        </w:rPr>
        <w:t xml:space="preserve">Results: </w:t>
      </w:r>
      <w:r>
        <w:rPr>
          <w:rFonts w:ascii="Segoe UI" w:hAnsi="Segoe UI" w:cs="Segoe UI"/>
          <w:color w:val="212121"/>
        </w:rPr>
        <w:t xml:space="preserve">Eighty-two participants were randomized into three conditions that did not differ significantly in terms of demographics or baseline variables. Dropout occurred for 32.9% of the sample. No differences in rate of emergency room visits, hospitalizations, or other escalations in level of care were reported among groups. Satisfaction was </w:t>
      </w:r>
      <w:r>
        <w:rPr>
          <w:rFonts w:ascii="Segoe UI" w:hAnsi="Segoe UI" w:cs="Segoe UI"/>
          <w:color w:val="212121"/>
        </w:rPr>
        <w:lastRenderedPageBreak/>
        <w:t>higher for those receiving psychoeducational videos about BPD. Improvement in BPD knowledge in the psychoeducation conditions was significantly greater than the control condition. No statistically significant differences were found regarding reduction of BPD symptoms. The psychoeducation with feedback arm showed significantly greater improvements in self-impairment compared to controls with medium effect size at the final timepoint. Modeling of the relationship between time spent alone and BPD symptoms showed a positive correlation in the control condition, but in the group receiving both psychoeducation about BPD and feedback, this relationship was negative.</w:t>
      </w:r>
    </w:p>
    <w:p w14:paraId="48611C90" w14:textId="77777777" w:rsidR="00EB68AD" w:rsidRDefault="00000000">
      <w:pPr>
        <w:pStyle w:val="NormalWeb"/>
        <w:shd w:val="clear" w:color="auto" w:fill="FFFFFF"/>
      </w:pPr>
      <w:r>
        <w:rPr>
          <w:rStyle w:val="Strong"/>
          <w:rFonts w:ascii="Segoe UI" w:hAnsi="Segoe UI" w:cs="Segoe UI"/>
          <w:color w:val="212121"/>
        </w:rPr>
        <w:t xml:space="preserve">Conclusion: </w:t>
      </w:r>
      <w:r>
        <w:rPr>
          <w:rFonts w:ascii="Segoe UI" w:hAnsi="Segoe UI" w:cs="Segoe UI"/>
          <w:color w:val="212121"/>
        </w:rPr>
        <w:t>Online psychoeducational videos and assessment were safe, feasible, and acceptable to participants with newly diagnosed BPD. Psychoeducation with personalized feedback appears to be more effective than either BPD or general psychoeducation alone in improving deficits in self-functioning, which may relate to an increased capacity to be alone with fewer symptoms.</w:t>
      </w:r>
    </w:p>
    <w:p w14:paraId="5091955B" w14:textId="77777777" w:rsidR="00EB68AD" w:rsidRDefault="00EB68AD">
      <w:pPr>
        <w:shd w:val="clear" w:color="auto" w:fill="FFFFFF"/>
        <w:spacing w:after="0" w:line="240" w:lineRule="auto"/>
      </w:pPr>
    </w:p>
    <w:p w14:paraId="7C1BA41D" w14:textId="77777777" w:rsidR="00EB68AD" w:rsidRDefault="00000000">
      <w:pPr>
        <w:pStyle w:val="Heading1"/>
        <w:shd w:val="clear" w:color="auto" w:fill="FFFFFF"/>
      </w:pPr>
      <w:r>
        <w:rPr>
          <w:rFonts w:ascii="Merriweather" w:hAnsi="Merriweather"/>
          <w:color w:val="212121"/>
        </w:rPr>
        <w:t>Temporal course of symptom domain improvement in schizophrenia: individual participant data analysis of six antipsychotic drug trials</w:t>
      </w:r>
    </w:p>
    <w:p w14:paraId="4B73E77E" w14:textId="77777777" w:rsidR="00EB68AD" w:rsidRDefault="00000000">
      <w:pPr>
        <w:shd w:val="clear" w:color="auto" w:fill="FFFFFF"/>
        <w:spacing w:after="0" w:line="240" w:lineRule="auto"/>
      </w:pPr>
      <w:r>
        <w:rPr>
          <w:rFonts w:ascii="Segoe UI" w:hAnsi="Segoe UI" w:cs="Segoe UI"/>
          <w:color w:val="212121"/>
        </w:rPr>
        <w:t xml:space="preserve">Leucht S, Harrer M, Illing S, </w:t>
      </w:r>
      <w:proofErr w:type="spellStart"/>
      <w:r>
        <w:rPr>
          <w:rFonts w:ascii="Segoe UI" w:hAnsi="Segoe UI" w:cs="Segoe UI"/>
          <w:color w:val="212121"/>
        </w:rPr>
        <w:t>Christogiannis</w:t>
      </w:r>
      <w:proofErr w:type="spellEnd"/>
      <w:r>
        <w:rPr>
          <w:rFonts w:ascii="Segoe UI" w:hAnsi="Segoe UI" w:cs="Segoe UI"/>
          <w:color w:val="212121"/>
        </w:rPr>
        <w:t xml:space="preserve"> C, Kahn RS, Fleischhacker WW, et al. Temporal course of symptom domain improvement in schizophrenia: individual participant data analysis of six antipsychotic drug trials. Lancet Psychiatry. 2026;13(8):688-698. </w:t>
      </w:r>
      <w:proofErr w:type="spellStart"/>
      <w:r>
        <w:rPr>
          <w:rFonts w:ascii="Segoe UI" w:hAnsi="Segoe UI" w:cs="Segoe UI"/>
          <w:color w:val="212121"/>
        </w:rPr>
        <w:t>doi</w:t>
      </w:r>
      <w:proofErr w:type="spellEnd"/>
      <w:r>
        <w:rPr>
          <w:rFonts w:ascii="Segoe UI" w:hAnsi="Segoe UI" w:cs="Segoe UI"/>
          <w:color w:val="212121"/>
        </w:rPr>
        <w:t xml:space="preserve">: 10.1016/S2215-0366(26)00174-4 </w:t>
      </w:r>
      <w:hyperlink r:id="rId33" w:history="1">
        <w:r>
          <w:rPr>
            <w:rStyle w:val="Hyperlink"/>
            <w:rFonts w:ascii="Segoe UI" w:hAnsi="Segoe UI" w:cs="Segoe UI"/>
          </w:rPr>
          <w:t>PMID: 42456706</w:t>
        </w:r>
      </w:hyperlink>
      <w:r>
        <w:rPr>
          <w:rFonts w:ascii="Segoe UI" w:hAnsi="Segoe UI" w:cs="Segoe UI"/>
          <w:color w:val="212121"/>
        </w:rPr>
        <w:t>.</w:t>
      </w:r>
    </w:p>
    <w:p w14:paraId="3884A976" w14:textId="77777777" w:rsidR="00EB68AD" w:rsidRDefault="00000000">
      <w:pPr>
        <w:pStyle w:val="NormalWeb"/>
        <w:shd w:val="clear" w:color="auto" w:fill="FFFFFF"/>
      </w:pPr>
      <w:r>
        <w:rPr>
          <w:rStyle w:val="Strong"/>
          <w:rFonts w:ascii="Segoe UI" w:hAnsi="Segoe UI" w:cs="Segoe UI"/>
          <w:color w:val="212121"/>
        </w:rPr>
        <w:t xml:space="preserve">BACKGROUND: </w:t>
      </w:r>
      <w:r>
        <w:rPr>
          <w:rFonts w:ascii="Segoe UI" w:hAnsi="Segoe UI" w:cs="Segoe UI"/>
          <w:color w:val="212121"/>
        </w:rPr>
        <w:t>The temporal course of antipsychotic drug action in schizophrenia remains poorly understood. We aimed to explore how different symptom domains of schizophrenia improve over time. Such knowledge has important implications for treatment decisions and for understanding the mechanisms of action of antipsychotic drugs.</w:t>
      </w:r>
    </w:p>
    <w:p w14:paraId="5465E1CB" w14:textId="77777777" w:rsidR="00EB68AD" w:rsidRDefault="00000000">
      <w:pPr>
        <w:pStyle w:val="NormalWeb"/>
        <w:shd w:val="clear" w:color="auto" w:fill="FFFFFF"/>
      </w:pPr>
      <w:r>
        <w:rPr>
          <w:rStyle w:val="Strong"/>
          <w:rFonts w:ascii="Segoe UI" w:hAnsi="Segoe UI" w:cs="Segoe UI"/>
          <w:color w:val="212121"/>
        </w:rPr>
        <w:t xml:space="preserve">METHODS: </w:t>
      </w:r>
      <w:r>
        <w:rPr>
          <w:rFonts w:ascii="Segoe UI" w:hAnsi="Segoe UI" w:cs="Segoe UI"/>
          <w:color w:val="212121"/>
        </w:rPr>
        <w:t xml:space="preserve">We </w:t>
      </w:r>
      <w:proofErr w:type="spellStart"/>
      <w:r>
        <w:rPr>
          <w:rFonts w:ascii="Segoe UI" w:hAnsi="Segoe UI" w:cs="Segoe UI"/>
          <w:color w:val="212121"/>
        </w:rPr>
        <w:t>analysed</w:t>
      </w:r>
      <w:proofErr w:type="spellEnd"/>
      <w:r>
        <w:rPr>
          <w:rFonts w:ascii="Segoe UI" w:hAnsi="Segoe UI" w:cs="Segoe UI"/>
          <w:color w:val="212121"/>
        </w:rPr>
        <w:t xml:space="preserve"> individual patient data from an existing repository comprising six antipsychotic drug trials of 6-12 months' duration in patients with acute schizophrenia (n=2079; 1328 [64%] men, 751 [36%] women; 1577 [76%] White, 502 [24%] non-White; mean age 34·72 years [range 16-73]). We used descriptive statistics to examine improvement trajectories across five PANSS symptom domains according to an established five-factor model (positive symptoms, negative symptoms, hostility and excitement, anxiety and depression, and cognitive and </w:t>
      </w:r>
      <w:proofErr w:type="spellStart"/>
      <w:r>
        <w:rPr>
          <w:rFonts w:ascii="Segoe UI" w:hAnsi="Segoe UI" w:cs="Segoe UI"/>
          <w:color w:val="212121"/>
        </w:rPr>
        <w:t>disorganisation</w:t>
      </w:r>
      <w:proofErr w:type="spellEnd"/>
      <w:r>
        <w:rPr>
          <w:rFonts w:ascii="Segoe UI" w:hAnsi="Segoe UI" w:cs="Segoe UI"/>
          <w:color w:val="212121"/>
        </w:rPr>
        <w:t>).</w:t>
      </w:r>
    </w:p>
    <w:p w14:paraId="6393FEFD" w14:textId="77777777" w:rsidR="00EB68AD" w:rsidRDefault="00000000">
      <w:pPr>
        <w:pStyle w:val="NormalWeb"/>
        <w:shd w:val="clear" w:color="auto" w:fill="FFFFFF"/>
      </w:pPr>
      <w:r>
        <w:rPr>
          <w:rStyle w:val="Strong"/>
          <w:rFonts w:ascii="Segoe UI" w:hAnsi="Segoe UI" w:cs="Segoe UI"/>
          <w:color w:val="212121"/>
        </w:rPr>
        <w:t xml:space="preserve">FINDINGS: </w:t>
      </w:r>
      <w:r>
        <w:rPr>
          <w:rFonts w:ascii="Segoe UI" w:hAnsi="Segoe UI" w:cs="Segoe UI"/>
          <w:color w:val="212121"/>
        </w:rPr>
        <w:t xml:space="preserve">In all domains initial improvements were seen in the first 5 weeks. However, time-to-response analysis revealed that 50% improvement of the hostility and </w:t>
      </w:r>
      <w:r>
        <w:rPr>
          <w:rFonts w:ascii="Segoe UI" w:hAnsi="Segoe UI" w:cs="Segoe UI"/>
          <w:color w:val="212121"/>
        </w:rPr>
        <w:lastRenderedPageBreak/>
        <w:t>excitement domain occurred first, followed by positive symptoms and anxiety and depression.</w:t>
      </w:r>
    </w:p>
    <w:p w14:paraId="3FAA0C5F" w14:textId="77777777" w:rsidR="00EB68AD" w:rsidRDefault="00000000">
      <w:pPr>
        <w:pStyle w:val="NormalWeb"/>
        <w:shd w:val="clear" w:color="auto" w:fill="FFFFFF"/>
      </w:pPr>
      <w:r>
        <w:rPr>
          <w:rStyle w:val="Strong"/>
          <w:rFonts w:ascii="Segoe UI" w:hAnsi="Segoe UI" w:cs="Segoe UI"/>
          <w:color w:val="212121"/>
        </w:rPr>
        <w:t xml:space="preserve">INTERPRETATION: </w:t>
      </w:r>
      <w:r>
        <w:rPr>
          <w:rFonts w:ascii="Segoe UI" w:hAnsi="Segoe UI" w:cs="Segoe UI"/>
          <w:color w:val="212121"/>
        </w:rPr>
        <w:t xml:space="preserve">Clinicians should be aware of earlier attainment of substantial response of hostility and excitement, then positive symptoms, before substantial reductions in other domains. Treatment changes should not be made prematurely when negative and cognitive and </w:t>
      </w:r>
      <w:proofErr w:type="spellStart"/>
      <w:r>
        <w:rPr>
          <w:rFonts w:ascii="Segoe UI" w:hAnsi="Segoe UI" w:cs="Segoe UI"/>
          <w:color w:val="212121"/>
        </w:rPr>
        <w:t>disorganisation</w:t>
      </w:r>
      <w:proofErr w:type="spellEnd"/>
      <w:r>
        <w:rPr>
          <w:rFonts w:ascii="Segoe UI" w:hAnsi="Segoe UI" w:cs="Segoe UI"/>
          <w:color w:val="212121"/>
        </w:rPr>
        <w:t xml:space="preserve"> symptoms persist, as improvement in these </w:t>
      </w:r>
      <w:proofErr w:type="gramStart"/>
      <w:r>
        <w:rPr>
          <w:rFonts w:ascii="Segoe UI" w:hAnsi="Segoe UI" w:cs="Segoe UI"/>
          <w:color w:val="212121"/>
        </w:rPr>
        <w:t>domains</w:t>
      </w:r>
      <w:proofErr w:type="gramEnd"/>
      <w:r>
        <w:rPr>
          <w:rFonts w:ascii="Segoe UI" w:hAnsi="Segoe UI" w:cs="Segoe UI"/>
          <w:color w:val="212121"/>
        </w:rPr>
        <w:t xml:space="preserve"> </w:t>
      </w:r>
      <w:proofErr w:type="gramStart"/>
      <w:r>
        <w:rPr>
          <w:rFonts w:ascii="Segoe UI" w:hAnsi="Segoe UI" w:cs="Segoe UI"/>
          <w:color w:val="212121"/>
        </w:rPr>
        <w:t>lags behind</w:t>
      </w:r>
      <w:proofErr w:type="gramEnd"/>
      <w:r>
        <w:rPr>
          <w:rFonts w:ascii="Segoe UI" w:hAnsi="Segoe UI" w:cs="Segoe UI"/>
          <w:color w:val="212121"/>
        </w:rPr>
        <w:t>. Researchers should consider these temporal patterns when investigating the mechanisms of action of antipsychotic drugs.</w:t>
      </w:r>
    </w:p>
    <w:p w14:paraId="79A977E4" w14:textId="77777777" w:rsidR="00EB68AD" w:rsidRDefault="00000000">
      <w:pPr>
        <w:pStyle w:val="NormalWeb"/>
        <w:shd w:val="clear" w:color="auto" w:fill="FFFFFF"/>
      </w:pPr>
      <w:r>
        <w:rPr>
          <w:rStyle w:val="Strong"/>
          <w:rFonts w:ascii="Segoe UI" w:hAnsi="Segoe UI" w:cs="Segoe UI"/>
          <w:color w:val="212121"/>
        </w:rPr>
        <w:t xml:space="preserve">FUNDING: </w:t>
      </w:r>
      <w:r>
        <w:rPr>
          <w:rFonts w:ascii="Segoe UI" w:hAnsi="Segoe UI" w:cs="Segoe UI"/>
          <w:color w:val="212121"/>
        </w:rPr>
        <w:t>None.</w:t>
      </w:r>
    </w:p>
    <w:p w14:paraId="75696ECB" w14:textId="77777777" w:rsidR="00EB68AD" w:rsidRDefault="00EB68AD">
      <w:pPr>
        <w:shd w:val="clear" w:color="auto" w:fill="FFFFFF"/>
        <w:spacing w:after="0" w:line="240" w:lineRule="auto"/>
      </w:pPr>
    </w:p>
    <w:p w14:paraId="68CC6372" w14:textId="77777777" w:rsidR="00EB68AD" w:rsidRDefault="00000000">
      <w:pPr>
        <w:shd w:val="clear" w:color="auto" w:fill="1A365D"/>
        <w:spacing w:before="200" w:after="100"/>
      </w:pPr>
      <w:r>
        <w:rPr>
          <w:rFonts w:ascii="Segoe UI" w:hAnsi="Segoe UI" w:cs="Segoe UI"/>
          <w:b/>
          <w:bCs/>
          <w:caps/>
          <w:color w:val="FFFFFF"/>
        </w:rPr>
        <w:t xml:space="preserve">  Clinical Reviews &amp; Meta-Analyses</w:t>
      </w:r>
    </w:p>
    <w:p w14:paraId="040FF671" w14:textId="77777777" w:rsidR="00EB68AD" w:rsidRDefault="00EB68AD">
      <w:pPr>
        <w:shd w:val="clear" w:color="auto" w:fill="FFFFFF"/>
        <w:spacing w:after="0" w:line="240" w:lineRule="auto"/>
      </w:pPr>
    </w:p>
    <w:p w14:paraId="736E0159" w14:textId="77777777" w:rsidR="00EB68AD" w:rsidRDefault="00000000">
      <w:pPr>
        <w:pStyle w:val="Heading1"/>
        <w:shd w:val="clear" w:color="auto" w:fill="FFFFFF"/>
      </w:pPr>
      <w:r>
        <w:rPr>
          <w:rFonts w:ascii="Merriweather" w:hAnsi="Merriweather"/>
          <w:color w:val="212121"/>
        </w:rPr>
        <w:t>The 25-Year Evolution of Lithium as a Disease-Modifying Agent in Dementia: A Narrative Review</w:t>
      </w:r>
    </w:p>
    <w:p w14:paraId="5E36AB4A" w14:textId="77777777" w:rsidR="00EB68AD" w:rsidRDefault="00000000">
      <w:pPr>
        <w:shd w:val="clear" w:color="auto" w:fill="FFFFFF"/>
        <w:spacing w:after="0" w:line="240" w:lineRule="auto"/>
      </w:pPr>
      <w:r>
        <w:rPr>
          <w:rFonts w:ascii="Segoe UI" w:hAnsi="Segoe UI" w:cs="Segoe UI"/>
          <w:color w:val="212121"/>
        </w:rPr>
        <w:t xml:space="preserve">Moore GJ, Bose N, Henter ID, Manji HK. The 25-Year Evolution of Lithium as a Disease-Modifying Agent in Dementia: A Narrative Review. JAMA Psychiatry. 2026;83(9):976-986. </w:t>
      </w:r>
      <w:proofErr w:type="spellStart"/>
      <w:r>
        <w:rPr>
          <w:rFonts w:ascii="Segoe UI" w:hAnsi="Segoe UI" w:cs="Segoe UI"/>
          <w:color w:val="212121"/>
        </w:rPr>
        <w:t>doi</w:t>
      </w:r>
      <w:proofErr w:type="spellEnd"/>
      <w:r>
        <w:rPr>
          <w:rFonts w:ascii="Segoe UI" w:hAnsi="Segoe UI" w:cs="Segoe UI"/>
          <w:color w:val="212121"/>
        </w:rPr>
        <w:t xml:space="preserve">: 10.1001/jamapsychiatry.2026.1296 </w:t>
      </w:r>
      <w:hyperlink r:id="rId34" w:history="1">
        <w:r>
          <w:rPr>
            <w:rStyle w:val="Hyperlink"/>
            <w:rFonts w:ascii="Segoe UI" w:hAnsi="Segoe UI" w:cs="Segoe UI"/>
          </w:rPr>
          <w:t>DOI link</w:t>
        </w:r>
      </w:hyperlink>
      <w:r>
        <w:rPr>
          <w:rFonts w:ascii="Segoe UI" w:hAnsi="Segoe UI" w:cs="Segoe UI"/>
          <w:color w:val="212121"/>
        </w:rPr>
        <w:t>.</w:t>
      </w:r>
    </w:p>
    <w:p w14:paraId="72562EBD" w14:textId="77777777" w:rsidR="00EB68AD" w:rsidRDefault="00000000">
      <w:pPr>
        <w:pStyle w:val="NormalWeb"/>
        <w:shd w:val="clear" w:color="auto" w:fill="FFFFFF"/>
      </w:pPr>
      <w:r>
        <w:rPr>
          <w:rStyle w:val="Strong"/>
          <w:rFonts w:ascii="Segoe UI" w:hAnsi="Segoe UI" w:cs="Segoe UI"/>
          <w:color w:val="212121"/>
        </w:rPr>
        <w:t xml:space="preserve">Importance: </w:t>
      </w:r>
      <w:r>
        <w:rPr>
          <w:rFonts w:ascii="Segoe UI" w:hAnsi="Segoe UI" w:cs="Segoe UI"/>
          <w:color w:val="212121"/>
        </w:rPr>
        <w:t>Lithium, a long-established cornerstone therapy for bipolar disorder, is a biologically plausible disease-modifying agent for neurodegenerative disorders, including mild cognitive impairment (MCI) and Alzheimer disease (AD).</w:t>
      </w:r>
    </w:p>
    <w:p w14:paraId="6F4C0856" w14:textId="77777777" w:rsidR="00EB68AD" w:rsidRDefault="00000000">
      <w:pPr>
        <w:pStyle w:val="NormalWeb"/>
        <w:shd w:val="clear" w:color="auto" w:fill="FFFFFF"/>
      </w:pPr>
      <w:r>
        <w:rPr>
          <w:rStyle w:val="Strong"/>
          <w:rFonts w:ascii="Segoe UI" w:hAnsi="Segoe UI" w:cs="Segoe UI"/>
          <w:color w:val="212121"/>
        </w:rPr>
        <w:t xml:space="preserve">Observations: </w:t>
      </w:r>
      <w:r>
        <w:rPr>
          <w:rFonts w:ascii="Segoe UI" w:hAnsi="Segoe UI" w:cs="Segoe UI"/>
          <w:color w:val="212121"/>
        </w:rPr>
        <w:t>Rather than targeting a single pathology like amyloid or tau, lithium acts across multiple cellular resilience pathways. Chronic lithium exposure induces the anti-apoptotic protein B-cell lymphoma 2 (Bcl-2), enhances brain-derived neurotrophic factor (BDNF) signaling, inhibits glycogen synthase kinase-3β (GSK-3β), stabilizes mitochondrial function, and reduces oxidative stress. These convergent mechanisms promote neuronal survival and synaptic integrity. In humans, proton magnetic resonance spectroscopy studies found that lithium increased N-</w:t>
      </w:r>
      <w:proofErr w:type="spellStart"/>
      <w:r>
        <w:rPr>
          <w:rFonts w:ascii="Segoe UI" w:hAnsi="Segoe UI" w:cs="Segoe UI"/>
          <w:color w:val="212121"/>
        </w:rPr>
        <w:t>acetylaspartate</w:t>
      </w:r>
      <w:proofErr w:type="spellEnd"/>
      <w:r>
        <w:rPr>
          <w:rFonts w:ascii="Segoe UI" w:hAnsi="Segoe UI" w:cs="Segoe UI"/>
          <w:color w:val="212121"/>
        </w:rPr>
        <w:t xml:space="preserve"> levels, consistent with improved neuronal viability, and structural magnetic resonance imaging (MRI) studies found that lithium preserved gray matter and/or reversed its loss. The recent repletion hypothesis suggests that lithium may also function as a physiological trace element, but these findings await independent replication.</w:t>
      </w:r>
    </w:p>
    <w:p w14:paraId="52E8B8DD" w14:textId="77777777" w:rsidR="00EB68AD" w:rsidRDefault="00000000">
      <w:pPr>
        <w:pStyle w:val="NormalWeb"/>
        <w:shd w:val="clear" w:color="auto" w:fill="FFFFFF"/>
      </w:pPr>
      <w:r>
        <w:rPr>
          <w:rStyle w:val="Strong"/>
          <w:rFonts w:ascii="Segoe UI" w:hAnsi="Segoe UI" w:cs="Segoe UI"/>
          <w:color w:val="212121"/>
        </w:rPr>
        <w:t xml:space="preserve">Conclusions: </w:t>
      </w:r>
      <w:r>
        <w:rPr>
          <w:rFonts w:ascii="Segoe UI" w:hAnsi="Segoe UI" w:cs="Segoe UI"/>
          <w:color w:val="212121"/>
        </w:rPr>
        <w:t>and Relevance: These convergent data support a prospective clinical trial of low-dose lithium orotate to slow disease progression in MCI.</w:t>
      </w:r>
    </w:p>
    <w:p w14:paraId="4508C63C" w14:textId="77777777" w:rsidR="00EB68AD" w:rsidRDefault="00EB68AD">
      <w:pPr>
        <w:shd w:val="clear" w:color="auto" w:fill="FFFFFF"/>
        <w:spacing w:after="0" w:line="240" w:lineRule="auto"/>
      </w:pPr>
    </w:p>
    <w:sectPr w:rsidR="00EB68A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rriweather">
    <w:panose1 w:val="00000500000000000000"/>
    <w:charset w:val="4D"/>
    <w:family w:val="auto"/>
    <w:pitch w:val="variable"/>
    <w:sig w:usb0="20000207" w:usb1="00000002" w:usb2="00000000" w:usb3="00000000" w:csb0="00000197"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8AD"/>
    <w:rsid w:val="00222675"/>
    <w:rsid w:val="00DE63B8"/>
    <w:rsid w:val="00EB6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56EBFD"/>
  <w15:docId w15:val="{E4B82A0B-3183-C642-B1E9-179532AD3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uiPriority w:val="9"/>
    <w:qFormat/>
    <w:pPr>
      <w:pBdr>
        <w:top w:val="single" w:sz="24" w:space="0" w:color="5B9BD5"/>
        <w:left w:val="single" w:sz="24" w:space="0" w:color="5B9BD5"/>
        <w:bottom w:val="single" w:sz="24" w:space="0" w:color="5B9BD5"/>
        <w:right w:val="single" w:sz="24" w:space="0" w:color="5B9BD5"/>
      </w:pBdr>
      <w:shd w:val="clear" w:color="auto" w:fill="5B9BD5"/>
      <w:spacing w:before="100" w:after="0" w:line="276" w:lineRule="auto"/>
      <w:outlineLvl w:val="0"/>
    </w:pPr>
    <w:rPr>
      <w:caps/>
      <w:color w:val="FFFFFF"/>
      <w:spacing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Heading">
    <w:name w:val="TOC Heading"/>
    <w:basedOn w:val="Heading1"/>
    <w:next w:val="Normal"/>
    <w:pPr>
      <w:outlineLvl w:val="9"/>
    </w:pPr>
  </w:style>
  <w:style w:type="paragraph" w:styleId="TOC1">
    <w:name w:val="toc 1"/>
    <w:basedOn w:val="Normal"/>
    <w:next w:val="Normal"/>
    <w:pPr>
      <w:spacing w:before="100" w:after="100" w:line="276" w:lineRule="auto"/>
    </w:pPr>
    <w:rPr>
      <w:sz w:val="20"/>
      <w:szCs w:val="20"/>
    </w:rPr>
  </w:style>
  <w:style w:type="paragraph" w:styleId="NormalWeb">
    <w:name w:val="Normal (Web)"/>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rPr>
      <w:color w:val="0563C1"/>
      <w:u w:val="single"/>
    </w:rPr>
  </w:style>
  <w:style w:type="character" w:styleId="Strong">
    <w:name w:val="Strong"/>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pubmed.ncbi.nlm.nih.gov/42647448/" TargetMode="External"/><Relationship Id="rId18" Type="http://schemas.openxmlformats.org/officeDocument/2006/relationships/hyperlink" Target="https://pubmed.ncbi.nlm.nih.gov/42456706/" TargetMode="External"/><Relationship Id="rId26" Type="http://schemas.openxmlformats.org/officeDocument/2006/relationships/hyperlink" Target="https://pubmed.ncbi.nlm.nih.gov/42515970/" TargetMode="External"/><Relationship Id="rId3" Type="http://schemas.openxmlformats.org/officeDocument/2006/relationships/webSettings" Target="webSettings.xml"/><Relationship Id="rId21" Type="http://schemas.openxmlformats.org/officeDocument/2006/relationships/hyperlink" Target="https://pubmed.ncbi.nlm.nih.gov/42418174/" TargetMode="External"/><Relationship Id="rId34" Type="http://schemas.openxmlformats.org/officeDocument/2006/relationships/hyperlink" Target="https://doi.org/10.1001/jamapsychiatry.2026.1296" TargetMode="External"/><Relationship Id="rId7" Type="http://schemas.openxmlformats.org/officeDocument/2006/relationships/hyperlink" Target="https://pubmed.ncbi.nlm.nih.gov/42340705/" TargetMode="External"/><Relationship Id="rId12" Type="http://schemas.openxmlformats.org/officeDocument/2006/relationships/hyperlink" Target="https://pubmed.ncbi.nlm.nih.gov/42591784/" TargetMode="External"/><Relationship Id="rId17" Type="http://schemas.openxmlformats.org/officeDocument/2006/relationships/hyperlink" Target="https://pubmed.ncbi.nlm.nih.gov/42616804/" TargetMode="External"/><Relationship Id="rId25" Type="http://schemas.openxmlformats.org/officeDocument/2006/relationships/hyperlink" Target="https://pubmed.ncbi.nlm.nih.gov/42268594/" TargetMode="External"/><Relationship Id="rId33" Type="http://schemas.openxmlformats.org/officeDocument/2006/relationships/hyperlink" Target="https://pubmed.ncbi.nlm.nih.gov/42456706/" TargetMode="External"/><Relationship Id="rId2" Type="http://schemas.openxmlformats.org/officeDocument/2006/relationships/settings" Target="settings.xml"/><Relationship Id="rId16" Type="http://schemas.openxmlformats.org/officeDocument/2006/relationships/hyperlink" Target="https://pubmed.ncbi.nlm.nih.gov/42616497/" TargetMode="External"/><Relationship Id="rId20" Type="http://schemas.openxmlformats.org/officeDocument/2006/relationships/hyperlink" Target="https://pubmed.ncbi.nlm.nih.gov/42635998/" TargetMode="External"/><Relationship Id="rId29" Type="http://schemas.openxmlformats.org/officeDocument/2006/relationships/hyperlink" Target="https://pubmed.ncbi.nlm.nih.gov/42632818/" TargetMode="External"/><Relationship Id="rId1" Type="http://schemas.openxmlformats.org/officeDocument/2006/relationships/styles" Target="styles.xml"/><Relationship Id="rId6" Type="http://schemas.openxmlformats.org/officeDocument/2006/relationships/hyperlink" Target="https://pubmed.ncbi.nlm.nih.gov/42418174/" TargetMode="External"/><Relationship Id="rId11" Type="http://schemas.openxmlformats.org/officeDocument/2006/relationships/hyperlink" Target="https://pubmed.ncbi.nlm.nih.gov/42515970/" TargetMode="External"/><Relationship Id="rId24" Type="http://schemas.openxmlformats.org/officeDocument/2006/relationships/hyperlink" Target="https://pubmed.ncbi.nlm.nih.gov/42565291/" TargetMode="External"/><Relationship Id="rId32" Type="http://schemas.openxmlformats.org/officeDocument/2006/relationships/hyperlink" Target="https://pubmed.ncbi.nlm.nih.gov/42616804/" TargetMode="External"/><Relationship Id="rId5" Type="http://schemas.openxmlformats.org/officeDocument/2006/relationships/hyperlink" Target="https://pubmed.ncbi.nlm.nih.gov/42635998/" TargetMode="External"/><Relationship Id="rId15" Type="http://schemas.openxmlformats.org/officeDocument/2006/relationships/hyperlink" Target="https://pubmed.ncbi.nlm.nih.gov/42638752/" TargetMode="External"/><Relationship Id="rId23" Type="http://schemas.openxmlformats.org/officeDocument/2006/relationships/hyperlink" Target="https://pubmed.ncbi.nlm.nih.gov/42337416/" TargetMode="External"/><Relationship Id="rId28" Type="http://schemas.openxmlformats.org/officeDocument/2006/relationships/hyperlink" Target="https://pubmed.ncbi.nlm.nih.gov/42647448/" TargetMode="External"/><Relationship Id="rId36" Type="http://schemas.openxmlformats.org/officeDocument/2006/relationships/theme" Target="theme/theme1.xml"/><Relationship Id="rId10" Type="http://schemas.openxmlformats.org/officeDocument/2006/relationships/hyperlink" Target="https://pubmed.ncbi.nlm.nih.gov/42268594/" TargetMode="External"/><Relationship Id="rId19" Type="http://schemas.openxmlformats.org/officeDocument/2006/relationships/hyperlink" Target="https://doi.org/10.1001/jamapsychiatry.2026.1296" TargetMode="External"/><Relationship Id="rId31" Type="http://schemas.openxmlformats.org/officeDocument/2006/relationships/hyperlink" Target="https://pubmed.ncbi.nlm.nih.gov/42616497/" TargetMode="External"/><Relationship Id="rId4" Type="http://schemas.openxmlformats.org/officeDocument/2006/relationships/hyperlink" Target="mailto:PsychiatricPracticeUpdates@gmail.com" TargetMode="External"/><Relationship Id="rId9" Type="http://schemas.openxmlformats.org/officeDocument/2006/relationships/hyperlink" Target="https://pubmed.ncbi.nlm.nih.gov/42565291/" TargetMode="External"/><Relationship Id="rId14" Type="http://schemas.openxmlformats.org/officeDocument/2006/relationships/hyperlink" Target="https://pubmed.ncbi.nlm.nih.gov/42632818/" TargetMode="External"/><Relationship Id="rId22" Type="http://schemas.openxmlformats.org/officeDocument/2006/relationships/hyperlink" Target="https://pubmed.ncbi.nlm.nih.gov/42340705/" TargetMode="External"/><Relationship Id="rId27" Type="http://schemas.openxmlformats.org/officeDocument/2006/relationships/hyperlink" Target="https://pubmed.ncbi.nlm.nih.gov/42591784/" TargetMode="External"/><Relationship Id="rId30" Type="http://schemas.openxmlformats.org/officeDocument/2006/relationships/hyperlink" Target="https://pubmed.ncbi.nlm.nih.gov/42638752/" TargetMode="External"/><Relationship Id="rId35" Type="http://schemas.openxmlformats.org/officeDocument/2006/relationships/fontTable" Target="fontTable.xml"/><Relationship Id="rId8" Type="http://schemas.openxmlformats.org/officeDocument/2006/relationships/hyperlink" Target="https://pubmed.ncbi.nlm.nih.gov/423374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6211</Words>
  <Characters>35406</Characters>
  <Application>Microsoft Office Word</Application>
  <DocSecurity>0</DocSecurity>
  <Lines>295</Lines>
  <Paragraphs>83</Paragraphs>
  <ScaleCrop>false</ScaleCrop>
  <Company/>
  <LinksUpToDate>false</LinksUpToDate>
  <CharactersWithSpaces>41534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jason debonis</cp:lastModifiedBy>
  <cp:revision>2</cp:revision>
  <dcterms:created xsi:type="dcterms:W3CDTF">2026-09-15T22:06:00Z</dcterms:created>
  <dcterms:modified xsi:type="dcterms:W3CDTF">2026-09-15T22:06:00Z</dcterms:modified>
</cp:coreProperties>
</file>